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2018年度</w:t>
      </w:r>
    </w:p>
    <w:p>
      <w:pPr>
        <w:jc w:val="center"/>
        <w:rPr>
          <w:rFonts w:ascii="黑体" w:hAnsi="黑体" w:eastAsia="黑体" w:cs="黑体"/>
          <w:sz w:val="52"/>
          <w:szCs w:val="52"/>
        </w:rPr>
      </w:pPr>
      <w:r>
        <w:rPr>
          <w:rFonts w:hint="eastAsia" w:ascii="黑体" w:hAnsi="黑体" w:eastAsia="黑体" w:cs="黑体"/>
          <w:sz w:val="52"/>
          <w:szCs w:val="52"/>
          <w:lang w:val="en-US" w:eastAsia="zh-CN"/>
        </w:rPr>
        <w:t>漯河市工商业联合会</w:t>
      </w: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二〇一九年九月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eastAsia="黑体"/>
          <w:bCs/>
          <w:color w:val="000000"/>
          <w:sz w:val="32"/>
          <w:szCs w:val="32"/>
          <w:lang w:val="en-US" w:eastAsia="zh-CN"/>
        </w:rPr>
        <w:t>漯河市工商业联合会</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2018年度部门决算表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2018年度部门决算情况说明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val="en-US" w:eastAsia="zh-CN"/>
        </w:rPr>
        <w:t>漯河市工商业联合会</w:t>
      </w:r>
      <w:r>
        <w:rPr>
          <w:rFonts w:hint="eastAsia" w:ascii="黑体" w:hAnsi="黑体" w:eastAsia="黑体" w:cs="黑体"/>
          <w:sz w:val="48"/>
          <w:szCs w:val="48"/>
        </w:rPr>
        <w:t>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overflowPunct w:val="0"/>
        <w:topLinePunct/>
        <w:adjustRightInd w:val="0"/>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（一）加强和改进非公有制经济人士思想政治工作。积极引导教育会员爱国、敬业、诚信、守法、贡献；宣传表彰先进典型，弘扬优秀企业家精神；引导会员热心公益事业，投身光彩事业，积极履行社会责任；</w:t>
      </w:r>
      <w:r>
        <w:rPr>
          <w:rFonts w:hint="eastAsia" w:ascii="仿宋" w:hAnsi="仿宋" w:eastAsia="仿宋" w:cs="仿宋"/>
          <w:sz w:val="32"/>
          <w:szCs w:val="32"/>
          <w:lang w:eastAsia="zh-CN"/>
        </w:rPr>
        <w:t>协助指导和支持</w:t>
      </w:r>
      <w:r>
        <w:rPr>
          <w:rFonts w:hint="eastAsia" w:ascii="仿宋" w:hAnsi="仿宋" w:eastAsia="仿宋" w:cs="仿宋"/>
          <w:sz w:val="32"/>
          <w:szCs w:val="32"/>
        </w:rPr>
        <w:t>非公有制组织党建工作。</w:t>
      </w:r>
    </w:p>
    <w:p>
      <w:pPr>
        <w:overflowPunct w:val="0"/>
        <w:topLinePunct/>
        <w:adjustRightInd w:val="0"/>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（二）参与全市经济社会重大决策的政治协商，发挥民主监督、参政议政作用；做好非公有制经济代表人士政治安排的推荐工作。</w:t>
      </w:r>
    </w:p>
    <w:p>
      <w:pPr>
        <w:overflowPunct w:val="0"/>
        <w:topLinePunct/>
        <w:adjustRightInd w:val="0"/>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三）协助政府管理和服务非公有制经济。为非公有制企业提供政策咨询、信息、法律、投融资、技术、人才等方面服务，引导非公有制企业加快转型升级和提质增效；加强与外地区工商界的联系，促进经贸合作；组织非公有制企业参与全市重点工作，促进全市经济社会健康快速发展；承办市政府和有关部门委托的第三方评估等事项。</w:t>
      </w:r>
    </w:p>
    <w:p>
      <w:pPr>
        <w:overflowPunct w:val="0"/>
        <w:topLinePunct/>
        <w:adjustRightInd w:val="0"/>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（四）引导非公有制企业依法诚信经营，了解反映非公有制企业和非公有制经济人士诉求，帮助其依法维护合法权益，参与经济纠纷的调解、仲裁。参与协调劳动关系，协同社会治理，促进社会和谐稳定。</w:t>
      </w:r>
    </w:p>
    <w:p>
      <w:pPr>
        <w:overflowPunct w:val="0"/>
        <w:topLinePunct/>
        <w:adjustRightInd w:val="0"/>
        <w:snapToGrid w:val="0"/>
        <w:spacing w:line="600" w:lineRule="exact"/>
        <w:ind w:firstLine="645"/>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）指导和推动商会组织完善法人治理结构，规范内部管理；</w:t>
      </w:r>
      <w:r>
        <w:rPr>
          <w:rFonts w:hint="eastAsia" w:ascii="仿宋" w:hAnsi="仿宋" w:eastAsia="仿宋" w:cs="仿宋"/>
          <w:sz w:val="32"/>
          <w:szCs w:val="32"/>
          <w:lang w:eastAsia="zh-CN"/>
        </w:rPr>
        <w:t>指导行业协会、商会制定行业标准，规范市场行为，反映行业发展动态，促进行业健康发展。</w:t>
      </w:r>
    </w:p>
    <w:p>
      <w:pPr>
        <w:overflowPunct w:val="0"/>
        <w:topLinePunct/>
        <w:adjustRightInd w:val="0"/>
        <w:snapToGrid w:val="0"/>
        <w:spacing w:line="600" w:lineRule="exact"/>
        <w:ind w:firstLine="64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）增进与港澳台地区和国外工商社团及工商界人士的联系和友谊，帮助会员企业开拓市场，引进资金、技术和人才。</w:t>
      </w:r>
    </w:p>
    <w:p>
      <w:pPr>
        <w:overflowPunct w:val="0"/>
        <w:topLinePunct/>
        <w:adjustRightInd w:val="0"/>
        <w:snapToGrid w:val="0"/>
        <w:spacing w:line="600" w:lineRule="exact"/>
        <w:ind w:firstLine="645"/>
        <w:rPr>
          <w:rFonts w:hint="eastAsia" w:ascii="仿宋" w:hAnsi="仿宋" w:eastAsia="仿宋" w:cs="仿宋"/>
          <w:sz w:val="32"/>
          <w:szCs w:val="32"/>
          <w:lang w:eastAsia="zh-CN"/>
        </w:rPr>
      </w:pPr>
      <w:r>
        <w:rPr>
          <w:rFonts w:hint="eastAsia" w:ascii="仿宋" w:hAnsi="仿宋" w:eastAsia="仿宋" w:cs="仿宋"/>
          <w:sz w:val="32"/>
          <w:szCs w:val="32"/>
          <w:lang w:eastAsia="zh-CN"/>
        </w:rPr>
        <w:t>（七）加强对所属商会党建工作指导，确保商会发展的正确方向，引导基层商会组织对所属会员开展思想政治工作。</w:t>
      </w:r>
    </w:p>
    <w:p>
      <w:pPr>
        <w:overflowPunct w:val="0"/>
        <w:topLinePunct/>
        <w:adjustRightInd w:val="0"/>
        <w:snapToGrid w:val="0"/>
        <w:spacing w:line="600" w:lineRule="exact"/>
        <w:ind w:firstLine="645"/>
        <w:rPr>
          <w:rFonts w:eastAsia="仿宋_GB2312"/>
          <w:bCs/>
          <w:color w:val="000000"/>
          <w:sz w:val="32"/>
          <w:szCs w:val="32"/>
        </w:rPr>
      </w:pPr>
      <w:r>
        <w:rPr>
          <w:rFonts w:hint="eastAsia" w:ascii="仿宋" w:hAnsi="仿宋" w:eastAsia="仿宋" w:cs="仿宋"/>
          <w:sz w:val="32"/>
          <w:szCs w:val="32"/>
        </w:rPr>
        <w:t>（八）完成市委、市政府交办的其他</w:t>
      </w:r>
      <w:r>
        <w:rPr>
          <w:rFonts w:hint="eastAsia" w:ascii="仿宋" w:hAnsi="仿宋" w:eastAsia="仿宋" w:cs="仿宋"/>
          <w:sz w:val="32"/>
          <w:szCs w:val="32"/>
          <w:lang w:eastAsia="zh-CN"/>
        </w:rPr>
        <w:t>任务</w:t>
      </w:r>
      <w:r>
        <w:rPr>
          <w:rFonts w:hint="eastAsia" w:ascii="仿宋" w:hAnsi="仿宋" w:eastAsia="仿宋" w:cs="仿宋"/>
          <w:sz w:val="32"/>
          <w:szCs w:val="32"/>
        </w:rPr>
        <w:t>。</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市工商联内设机构2个，包括：办公室（会员部）、经济联络部（宣传教育部）。从决算单位构成看，市工商联部门决算包括：本级决算。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纳入本部门2018年度部门决算编制范围的单位共</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kern w:val="0"/>
          <w:sz w:val="32"/>
          <w:szCs w:val="32"/>
        </w:rPr>
        <w:t>，如下：</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 w:hAnsi="仿宋" w:eastAsia="仿宋" w:cs="仿宋"/>
          <w:bCs/>
          <w:color w:val="000000"/>
          <w:sz w:val="32"/>
          <w:szCs w:val="32"/>
          <w:lang w:eastAsia="zh-CN"/>
        </w:rPr>
        <w:t>漯河</w:t>
      </w:r>
      <w:r>
        <w:rPr>
          <w:rFonts w:hint="eastAsia" w:ascii="仿宋" w:hAnsi="仿宋" w:eastAsia="仿宋" w:cs="仿宋"/>
          <w:bCs/>
          <w:color w:val="000000"/>
          <w:sz w:val="32"/>
          <w:szCs w:val="32"/>
        </w:rPr>
        <w:t>市工商</w:t>
      </w:r>
      <w:r>
        <w:rPr>
          <w:rFonts w:hint="eastAsia" w:ascii="仿宋" w:hAnsi="仿宋" w:eastAsia="仿宋" w:cs="仿宋"/>
          <w:bCs/>
          <w:color w:val="000000"/>
          <w:sz w:val="32"/>
          <w:szCs w:val="32"/>
          <w:lang w:eastAsia="zh-CN"/>
        </w:rPr>
        <w:t>业联合会</w:t>
      </w:r>
      <w:r>
        <w:rPr>
          <w:rFonts w:hint="eastAsia" w:ascii="仿宋_GB2312" w:hAnsi="仿宋_GB2312" w:eastAsia="仿宋_GB2312" w:cs="仿宋_GB2312"/>
          <w:kern w:val="0"/>
          <w:sz w:val="32"/>
          <w:szCs w:val="32"/>
        </w:rPr>
        <w:t>本级</w:t>
      </w: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2018年度部门决算表</w:t>
      </w:r>
    </w:p>
    <w:p>
      <w:pPr>
        <w:widowControl/>
        <w:jc w:val="left"/>
        <w:rPr>
          <w:rFonts w:ascii="黑体" w:hAnsi="宋体" w:eastAsia="黑体" w:cs="宋体"/>
          <w:kern w:val="0"/>
          <w:sz w:val="28"/>
          <w:szCs w:val="28"/>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8"/>
        <w:tblW w:w="13988" w:type="dxa"/>
        <w:tblInd w:w="0" w:type="dxa"/>
        <w:shd w:val="clear" w:color="auto" w:fill="auto"/>
        <w:tblLayout w:type="fixed"/>
        <w:tblCellMar>
          <w:top w:w="0" w:type="dxa"/>
          <w:left w:w="0" w:type="dxa"/>
          <w:bottom w:w="0" w:type="dxa"/>
          <w:right w:w="0" w:type="dxa"/>
        </w:tblCellMar>
      </w:tblPr>
      <w:tblGrid>
        <w:gridCol w:w="4474"/>
        <w:gridCol w:w="858"/>
        <w:gridCol w:w="1259"/>
        <w:gridCol w:w="5277"/>
        <w:gridCol w:w="858"/>
        <w:gridCol w:w="1262"/>
      </w:tblGrid>
      <w:tr>
        <w:tblPrEx>
          <w:shd w:val="clear" w:color="auto" w:fill="auto"/>
          <w:tblLayout w:type="fixed"/>
          <w:tblCellMar>
            <w:top w:w="0" w:type="dxa"/>
            <w:left w:w="0" w:type="dxa"/>
            <w:bottom w:w="0" w:type="dxa"/>
            <w:right w:w="0" w:type="dxa"/>
          </w:tblCellMar>
        </w:tblPrEx>
        <w:trPr>
          <w:trHeight w:val="390" w:hRule="atLeast"/>
        </w:trPr>
        <w:tc>
          <w:tcPr>
            <w:tcW w:w="13988"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255" w:hRule="atLeast"/>
        </w:trPr>
        <w:tc>
          <w:tcPr>
            <w:tcW w:w="447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85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9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Layout w:type="fixed"/>
          <w:tblCellMar>
            <w:top w:w="0" w:type="dxa"/>
            <w:left w:w="0" w:type="dxa"/>
            <w:bottom w:w="0" w:type="dxa"/>
            <w:right w:w="0" w:type="dxa"/>
          </w:tblCellMar>
        </w:tblPrEx>
        <w:trPr>
          <w:trHeight w:val="255" w:hRule="atLeast"/>
        </w:trPr>
        <w:tc>
          <w:tcPr>
            <w:tcW w:w="6591"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部门：漯河市工商业联合会</w:t>
            </w:r>
          </w:p>
        </w:tc>
        <w:tc>
          <w:tcPr>
            <w:tcW w:w="739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65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39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255.57</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270.75</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21.48</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277.06</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309.17</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35.50</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312.55</w:t>
            </w:r>
          </w:p>
        </w:tc>
        <w:tc>
          <w:tcPr>
            <w:tcW w:w="52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8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312.55</w:t>
            </w:r>
          </w:p>
        </w:tc>
      </w:tr>
      <w:tr>
        <w:tblPrEx>
          <w:tblLayout w:type="fixed"/>
          <w:tblCellMar>
            <w:top w:w="0" w:type="dxa"/>
            <w:left w:w="0" w:type="dxa"/>
            <w:bottom w:w="0" w:type="dxa"/>
            <w:right w:w="0" w:type="dxa"/>
          </w:tblCellMar>
        </w:tblPrEx>
        <w:trPr>
          <w:trHeight w:val="308" w:hRule="atLeast"/>
        </w:trPr>
        <w:tc>
          <w:tcPr>
            <w:tcW w:w="13988"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8"/>
        <w:tblW w:w="13988" w:type="dxa"/>
        <w:tblInd w:w="0" w:type="dxa"/>
        <w:shd w:val="clear" w:color="auto" w:fill="auto"/>
        <w:tblLayout w:type="fixed"/>
        <w:tblCellMar>
          <w:top w:w="0" w:type="dxa"/>
          <w:left w:w="0" w:type="dxa"/>
          <w:bottom w:w="0" w:type="dxa"/>
          <w:right w:w="0" w:type="dxa"/>
        </w:tblCellMar>
      </w:tblPr>
      <w:tblGrid>
        <w:gridCol w:w="261"/>
        <w:gridCol w:w="262"/>
        <w:gridCol w:w="689"/>
        <w:gridCol w:w="3721"/>
        <w:gridCol w:w="1372"/>
        <w:gridCol w:w="1371"/>
        <w:gridCol w:w="1250"/>
        <w:gridCol w:w="1250"/>
        <w:gridCol w:w="1250"/>
        <w:gridCol w:w="1249"/>
        <w:gridCol w:w="1313"/>
      </w:tblGrid>
      <w:tr>
        <w:tblPrEx>
          <w:shd w:val="clear" w:color="auto" w:fill="auto"/>
          <w:tblLayout w:type="fixed"/>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255" w:hRule="atLeast"/>
        </w:trPr>
        <w:tc>
          <w:tcPr>
            <w:tcW w:w="261"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8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2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7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12"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Layout w:type="fixed"/>
          <w:tblCellMar>
            <w:top w:w="0" w:type="dxa"/>
            <w:left w:w="0" w:type="dxa"/>
            <w:bottom w:w="0" w:type="dxa"/>
            <w:right w:w="0" w:type="dxa"/>
          </w:tblCellMar>
        </w:tblPrEx>
        <w:trPr>
          <w:trHeight w:val="255" w:hRule="atLeast"/>
        </w:trPr>
        <w:tc>
          <w:tcPr>
            <w:tcW w:w="6305"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部门：漯河市工商业联合会</w:t>
            </w:r>
          </w:p>
        </w:tc>
        <w:tc>
          <w:tcPr>
            <w:tcW w:w="13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12"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493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7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37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2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2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2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24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1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Layout w:type="fixed"/>
          <w:tblCellMar>
            <w:top w:w="0" w:type="dxa"/>
            <w:left w:w="0" w:type="dxa"/>
            <w:bottom w:w="0" w:type="dxa"/>
            <w:right w:w="0" w:type="dxa"/>
          </w:tblCellMar>
        </w:tblPrEx>
        <w:trPr>
          <w:trHeight w:val="308" w:hRule="atLeast"/>
        </w:trPr>
        <w:tc>
          <w:tcPr>
            <w:tcW w:w="121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2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7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1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2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1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2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493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1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Layout w:type="fixed"/>
          <w:tblCellMar>
            <w:top w:w="0" w:type="dxa"/>
            <w:left w:w="0" w:type="dxa"/>
            <w:bottom w:w="0" w:type="dxa"/>
            <w:right w:w="0" w:type="dxa"/>
          </w:tblCellMar>
        </w:tblPrEx>
        <w:trPr>
          <w:trHeight w:val="308" w:hRule="atLeast"/>
        </w:trPr>
        <w:tc>
          <w:tcPr>
            <w:tcW w:w="493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277.06</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255.57</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21.48</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235.94</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214.46</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21.48</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民主党派及工商联事务</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235.94</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214.46</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21.48</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203.94</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182.46</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21.48</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2012804</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参政议政</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2012899</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其他民主党派及工商联事务支出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2080799</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11.18</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11.18</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11.18</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11.18</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3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tbl>
      <w:tblPr>
        <w:tblStyle w:val="8"/>
        <w:tblW w:w="13988" w:type="dxa"/>
        <w:tblInd w:w="0" w:type="dxa"/>
        <w:shd w:val="clear" w:color="auto" w:fill="auto"/>
        <w:tblLayout w:type="fixed"/>
        <w:tblCellMar>
          <w:top w:w="0" w:type="dxa"/>
          <w:left w:w="0" w:type="dxa"/>
          <w:bottom w:w="0" w:type="dxa"/>
          <w:right w:w="0" w:type="dxa"/>
        </w:tblCellMar>
      </w:tblPr>
      <w:tblGrid>
        <w:gridCol w:w="262"/>
        <w:gridCol w:w="263"/>
        <w:gridCol w:w="687"/>
        <w:gridCol w:w="4156"/>
        <w:gridCol w:w="1515"/>
        <w:gridCol w:w="1516"/>
        <w:gridCol w:w="1448"/>
        <w:gridCol w:w="1381"/>
        <w:gridCol w:w="1380"/>
        <w:gridCol w:w="1380"/>
      </w:tblGrid>
      <w:tr>
        <w:tblPrEx>
          <w:shd w:val="clear" w:color="auto" w:fill="auto"/>
          <w:tblLayout w:type="fixed"/>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255" w:hRule="atLeast"/>
        </w:trPr>
        <w:tc>
          <w:tcPr>
            <w:tcW w:w="262"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8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41"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Layout w:type="fixed"/>
          <w:tblCellMar>
            <w:top w:w="0" w:type="dxa"/>
            <w:left w:w="0" w:type="dxa"/>
            <w:bottom w:w="0" w:type="dxa"/>
            <w:right w:w="0" w:type="dxa"/>
          </w:tblCellMar>
        </w:tblPrEx>
        <w:trPr>
          <w:trHeight w:val="255" w:hRule="atLeast"/>
        </w:trPr>
        <w:tc>
          <w:tcPr>
            <w:tcW w:w="6883"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部门：漯河市工商业联合会</w:t>
            </w:r>
          </w:p>
        </w:tc>
        <w:tc>
          <w:tcPr>
            <w:tcW w:w="151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4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41"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36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1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4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8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3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Layout w:type="fixed"/>
          <w:tblCellMar>
            <w:top w:w="0" w:type="dxa"/>
            <w:left w:w="0" w:type="dxa"/>
            <w:bottom w:w="0" w:type="dxa"/>
            <w:right w:w="0" w:type="dxa"/>
          </w:tblCellMar>
        </w:tblPrEx>
        <w:trPr>
          <w:trHeight w:val="308" w:hRule="atLeast"/>
        </w:trPr>
        <w:tc>
          <w:tcPr>
            <w:tcW w:w="121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15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1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21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536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08" w:hRule="atLeast"/>
        </w:trPr>
        <w:tc>
          <w:tcPr>
            <w:tcW w:w="536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309.17</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277.51</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31.66</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270.75</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239.08</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31.66</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民主党派及工商联事务</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270.75</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239.08</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31.66</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239.08</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239.08</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2012804</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参政议政</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24.83</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24.83</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2012899</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其他民主党派及工商联事务支出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2080799</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2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1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5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4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8"/>
        <w:tblW w:w="13988" w:type="dxa"/>
        <w:tblInd w:w="0" w:type="dxa"/>
        <w:shd w:val="clear" w:color="auto" w:fill="auto"/>
        <w:tblLayout w:type="fixed"/>
        <w:tblCellMar>
          <w:top w:w="0" w:type="dxa"/>
          <w:left w:w="0" w:type="dxa"/>
          <w:bottom w:w="0" w:type="dxa"/>
          <w:right w:w="0" w:type="dxa"/>
        </w:tblCellMar>
      </w:tblPr>
      <w:tblGrid>
        <w:gridCol w:w="3904"/>
        <w:gridCol w:w="512"/>
        <w:gridCol w:w="1477"/>
        <w:gridCol w:w="3905"/>
        <w:gridCol w:w="512"/>
        <w:gridCol w:w="860"/>
        <w:gridCol w:w="1477"/>
        <w:gridCol w:w="1341"/>
      </w:tblGrid>
      <w:tr>
        <w:tblPrEx>
          <w:shd w:val="clear" w:color="auto" w:fill="auto"/>
          <w:tblLayout w:type="fixed"/>
          <w:tblCellMar>
            <w:top w:w="0" w:type="dxa"/>
            <w:left w:w="0" w:type="dxa"/>
            <w:bottom w:w="0" w:type="dxa"/>
            <w:right w:w="0" w:type="dxa"/>
          </w:tblCellMar>
        </w:tblPrEx>
        <w:trPr>
          <w:trHeight w:val="390" w:hRule="atLeast"/>
        </w:trPr>
        <w:tc>
          <w:tcPr>
            <w:tcW w:w="1398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255" w:hRule="atLeast"/>
        </w:trPr>
        <w:tc>
          <w:tcPr>
            <w:tcW w:w="390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7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8"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Layout w:type="fixed"/>
          <w:tblCellMar>
            <w:top w:w="0" w:type="dxa"/>
            <w:left w:w="0" w:type="dxa"/>
            <w:bottom w:w="0" w:type="dxa"/>
            <w:right w:w="0" w:type="dxa"/>
          </w:tblCellMar>
        </w:tblPrEx>
        <w:trPr>
          <w:trHeight w:val="255" w:hRule="atLeast"/>
        </w:trPr>
        <w:tc>
          <w:tcPr>
            <w:tcW w:w="589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部门：漯河市工商业联合会</w:t>
            </w:r>
          </w:p>
        </w:tc>
        <w:tc>
          <w:tcPr>
            <w:tcW w:w="39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78"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589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0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Layout w:type="fixed"/>
          <w:tblCellMar>
            <w:top w:w="0" w:type="dxa"/>
            <w:left w:w="0" w:type="dxa"/>
            <w:bottom w:w="0" w:type="dxa"/>
            <w:right w:w="0" w:type="dxa"/>
          </w:tblCellMar>
        </w:tblPrEx>
        <w:trPr>
          <w:trHeight w:val="292" w:hRule="atLeast"/>
        </w:trPr>
        <w:tc>
          <w:tcPr>
            <w:tcW w:w="390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9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6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Layout w:type="fixed"/>
          <w:tblCellMar>
            <w:top w:w="0" w:type="dxa"/>
            <w:left w:w="0" w:type="dxa"/>
            <w:bottom w:w="0" w:type="dxa"/>
            <w:right w:w="0" w:type="dxa"/>
          </w:tblCellMar>
        </w:tblPrEx>
        <w:trPr>
          <w:trHeight w:val="615" w:hRule="atLeast"/>
        </w:trPr>
        <w:tc>
          <w:tcPr>
            <w:tcW w:w="390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255.57</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240.73</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240.73</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255.57</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279.16</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279.16</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26.96</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26.96</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90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282.54</w:t>
            </w:r>
          </w:p>
        </w:tc>
        <w:tc>
          <w:tcPr>
            <w:tcW w:w="39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282.54</w:t>
            </w:r>
          </w:p>
        </w:tc>
        <w:tc>
          <w:tcPr>
            <w:tcW w:w="1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282.54</w:t>
            </w:r>
          </w:p>
        </w:tc>
        <w:tc>
          <w:tcPr>
            <w:tcW w:w="13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662" w:hRule="atLeast"/>
        </w:trPr>
        <w:tc>
          <w:tcPr>
            <w:tcW w:w="1398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8"/>
        <w:tblW w:w="13988" w:type="dxa"/>
        <w:tblInd w:w="0" w:type="dxa"/>
        <w:shd w:val="clear" w:color="auto" w:fill="auto"/>
        <w:tblLayout w:type="fixed"/>
        <w:tblCellMar>
          <w:top w:w="0" w:type="dxa"/>
          <w:left w:w="0" w:type="dxa"/>
          <w:bottom w:w="0" w:type="dxa"/>
          <w:right w:w="0" w:type="dxa"/>
        </w:tblCellMar>
      </w:tblPr>
      <w:tblGrid>
        <w:gridCol w:w="302"/>
        <w:gridCol w:w="302"/>
        <w:gridCol w:w="773"/>
        <w:gridCol w:w="5595"/>
        <w:gridCol w:w="2368"/>
        <w:gridCol w:w="2369"/>
        <w:gridCol w:w="2279"/>
      </w:tblGrid>
      <w:tr>
        <w:tblPrEx>
          <w:shd w:val="clear" w:color="auto" w:fill="auto"/>
          <w:tblLayout w:type="fixed"/>
          <w:tblCellMar>
            <w:top w:w="0" w:type="dxa"/>
            <w:left w:w="0" w:type="dxa"/>
            <w:bottom w:w="0" w:type="dxa"/>
            <w:right w:w="0" w:type="dxa"/>
          </w:tblCellMar>
        </w:tblPrEx>
        <w:trPr>
          <w:trHeight w:val="390" w:hRule="atLeast"/>
        </w:trPr>
        <w:tc>
          <w:tcPr>
            <w:tcW w:w="13988"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255" w:hRule="atLeast"/>
        </w:trPr>
        <w:tc>
          <w:tcPr>
            <w:tcW w:w="302"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0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7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5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6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4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Layout w:type="fixed"/>
          <w:tblCellMar>
            <w:top w:w="0" w:type="dxa"/>
            <w:left w:w="0" w:type="dxa"/>
            <w:bottom w:w="0" w:type="dxa"/>
            <w:right w:w="0" w:type="dxa"/>
          </w:tblCellMar>
        </w:tblPrEx>
        <w:trPr>
          <w:trHeight w:val="255" w:hRule="atLeast"/>
        </w:trPr>
        <w:tc>
          <w:tcPr>
            <w:tcW w:w="934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部门：漯河市工商业联合会</w:t>
            </w:r>
          </w:p>
        </w:tc>
        <w:tc>
          <w:tcPr>
            <w:tcW w:w="464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69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01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308" w:hRule="atLeast"/>
        </w:trPr>
        <w:tc>
          <w:tcPr>
            <w:tcW w:w="137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5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6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277" w:hRule="atLeast"/>
        </w:trPr>
        <w:tc>
          <w:tcPr>
            <w:tcW w:w="137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37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69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Layout w:type="fixed"/>
          <w:tblCellMar>
            <w:top w:w="0" w:type="dxa"/>
            <w:left w:w="0" w:type="dxa"/>
            <w:bottom w:w="0" w:type="dxa"/>
            <w:right w:w="0" w:type="dxa"/>
          </w:tblCellMar>
        </w:tblPrEx>
        <w:trPr>
          <w:trHeight w:val="308" w:hRule="atLeast"/>
        </w:trPr>
        <w:tc>
          <w:tcPr>
            <w:tcW w:w="69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279.16</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247.49</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31.66</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240.73</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209.07</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31.66</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民主党派及工商联事务</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240.73</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209.07</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31.66</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209.07</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209.07</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2012804</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参政议政</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24.83</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24.83</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2012899</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其他民主党派及工商联事务支出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就业补助</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2080799</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其他就业补助支出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7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55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3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23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22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13988"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8"/>
        <w:tblW w:w="13988" w:type="dxa"/>
        <w:tblInd w:w="0" w:type="dxa"/>
        <w:shd w:val="clear" w:color="auto" w:fill="auto"/>
        <w:tblLayout w:type="fixed"/>
        <w:tblCellMar>
          <w:top w:w="0" w:type="dxa"/>
          <w:left w:w="0" w:type="dxa"/>
          <w:bottom w:w="0" w:type="dxa"/>
          <w:right w:w="0" w:type="dxa"/>
        </w:tblCellMar>
      </w:tblPr>
      <w:tblGrid>
        <w:gridCol w:w="837"/>
        <w:gridCol w:w="2405"/>
        <w:gridCol w:w="1361"/>
        <w:gridCol w:w="809"/>
        <w:gridCol w:w="1865"/>
        <w:gridCol w:w="1361"/>
        <w:gridCol w:w="824"/>
        <w:gridCol w:w="3165"/>
        <w:gridCol w:w="1361"/>
      </w:tblGrid>
      <w:tr>
        <w:tblPrEx>
          <w:shd w:val="clear" w:color="auto" w:fill="auto"/>
          <w:tblLayout w:type="fixed"/>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285" w:hRule="atLeast"/>
        </w:trPr>
        <w:tc>
          <w:tcPr>
            <w:tcW w:w="837"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4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50"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255" w:hRule="atLeast"/>
        </w:trPr>
        <w:tc>
          <w:tcPr>
            <w:tcW w:w="460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部门：漯河市工商业联合会</w:t>
            </w:r>
          </w:p>
        </w:tc>
        <w:tc>
          <w:tcPr>
            <w:tcW w:w="80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50"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Layout w:type="fixed"/>
          <w:tblCellMar>
            <w:top w:w="0" w:type="dxa"/>
            <w:left w:w="0" w:type="dxa"/>
            <w:bottom w:w="0" w:type="dxa"/>
            <w:right w:w="0" w:type="dxa"/>
          </w:tblCellMar>
        </w:tblPrEx>
        <w:trPr>
          <w:trHeight w:val="308" w:hRule="atLeast"/>
        </w:trPr>
        <w:tc>
          <w:tcPr>
            <w:tcW w:w="83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4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308" w:hRule="atLeast"/>
        </w:trPr>
        <w:tc>
          <w:tcPr>
            <w:tcW w:w="83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226.29</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54.85</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0.23</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0.27</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0.21</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0.71</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0.87</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w:t>
            </w: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8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8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8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324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236.94</w:t>
            </w:r>
          </w:p>
        </w:tc>
        <w:tc>
          <w:tcPr>
            <w:tcW w:w="802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3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w:t>
            </w:r>
          </w:p>
        </w:tc>
      </w:tr>
      <w:tr>
        <w:tblPrEx>
          <w:tblLayout w:type="fixed"/>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8"/>
        <w:tblW w:w="13988" w:type="dxa"/>
        <w:tblInd w:w="0" w:type="dxa"/>
        <w:shd w:val="clear" w:color="auto" w:fill="auto"/>
        <w:tblLayout w:type="fixed"/>
        <w:tblCellMar>
          <w:top w:w="0" w:type="dxa"/>
          <w:left w:w="0" w:type="dxa"/>
          <w:bottom w:w="0" w:type="dxa"/>
          <w:right w:w="0" w:type="dxa"/>
        </w:tblCellMar>
      </w:tblPr>
      <w:tblGrid>
        <w:gridCol w:w="1165"/>
        <w:gridCol w:w="1164"/>
        <w:gridCol w:w="1166"/>
        <w:gridCol w:w="1166"/>
        <w:gridCol w:w="1166"/>
        <w:gridCol w:w="1166"/>
        <w:gridCol w:w="1166"/>
        <w:gridCol w:w="1166"/>
        <w:gridCol w:w="1166"/>
        <w:gridCol w:w="1166"/>
        <w:gridCol w:w="1165"/>
        <w:gridCol w:w="1166"/>
      </w:tblGrid>
      <w:tr>
        <w:tblPrEx>
          <w:shd w:val="clear" w:color="auto" w:fill="auto"/>
          <w:tblLayout w:type="fixed"/>
          <w:tblCellMar>
            <w:top w:w="0" w:type="dxa"/>
            <w:left w:w="0" w:type="dxa"/>
            <w:bottom w:w="0" w:type="dxa"/>
            <w:right w:w="0" w:type="dxa"/>
          </w:tblCellMar>
        </w:tblPrEx>
        <w:trPr>
          <w:trHeight w:val="540" w:hRule="atLeast"/>
        </w:trPr>
        <w:tc>
          <w:tcPr>
            <w:tcW w:w="1398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Layout w:type="fixed"/>
          <w:tblCellMar>
            <w:top w:w="0" w:type="dxa"/>
            <w:left w:w="0" w:type="dxa"/>
            <w:bottom w:w="0" w:type="dxa"/>
            <w:right w:w="0" w:type="dxa"/>
          </w:tblCellMar>
        </w:tblPrEx>
        <w:trPr>
          <w:trHeight w:val="255" w:hRule="atLeast"/>
        </w:trPr>
        <w:tc>
          <w:tcPr>
            <w:tcW w:w="116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16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63"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Layout w:type="fixed"/>
          <w:tblCellMar>
            <w:top w:w="0" w:type="dxa"/>
            <w:left w:w="0" w:type="dxa"/>
            <w:bottom w:w="0" w:type="dxa"/>
            <w:right w:w="0" w:type="dxa"/>
          </w:tblCellMar>
        </w:tblPrEx>
        <w:trPr>
          <w:trHeight w:val="255" w:hRule="atLeast"/>
        </w:trPr>
        <w:tc>
          <w:tcPr>
            <w:tcW w:w="466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部门：漯河市工商业联合会</w:t>
            </w: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63"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08" w:hRule="atLeast"/>
        </w:trPr>
        <w:tc>
          <w:tcPr>
            <w:tcW w:w="69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99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Layout w:type="fixed"/>
          <w:tblCellMar>
            <w:top w:w="0" w:type="dxa"/>
            <w:left w:w="0" w:type="dxa"/>
            <w:bottom w:w="0" w:type="dxa"/>
            <w:right w:w="0" w:type="dxa"/>
          </w:tblCellMar>
        </w:tblPrEx>
        <w:trPr>
          <w:trHeight w:val="308" w:hRule="atLeast"/>
        </w:trPr>
        <w:tc>
          <w:tcPr>
            <w:tcW w:w="116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98"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9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Layout w:type="fixed"/>
          <w:tblCellMar>
            <w:top w:w="0" w:type="dxa"/>
            <w:left w:w="0" w:type="dxa"/>
            <w:bottom w:w="0" w:type="dxa"/>
            <w:right w:w="0" w:type="dxa"/>
          </w:tblCellMar>
        </w:tblPrEx>
        <w:trPr>
          <w:trHeight w:val="615" w:hRule="atLeast"/>
        </w:trPr>
        <w:tc>
          <w:tcPr>
            <w:tcW w:w="116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11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Layout w:type="fixed"/>
          <w:tblCellMar>
            <w:top w:w="0" w:type="dxa"/>
            <w:left w:w="0" w:type="dxa"/>
            <w:bottom w:w="0" w:type="dxa"/>
            <w:right w:w="0" w:type="dxa"/>
          </w:tblCellMar>
        </w:tblPrEx>
        <w:trPr>
          <w:trHeight w:val="308" w:hRule="atLeast"/>
        </w:trPr>
        <w:tc>
          <w:tcPr>
            <w:tcW w:w="11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1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615" w:hRule="atLeast"/>
        </w:trPr>
        <w:tc>
          <w:tcPr>
            <w:tcW w:w="1398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tbl>
      <w:tblPr>
        <w:tblStyle w:val="8"/>
        <w:tblW w:w="14174" w:type="dxa"/>
        <w:tblInd w:w="0" w:type="dxa"/>
        <w:tblLayout w:type="fixed"/>
        <w:tblCellMar>
          <w:top w:w="0" w:type="dxa"/>
          <w:left w:w="108" w:type="dxa"/>
          <w:bottom w:w="0" w:type="dxa"/>
          <w:right w:w="108" w:type="dxa"/>
        </w:tblCellMar>
      </w:tblPr>
      <w:tblGrid>
        <w:gridCol w:w="601"/>
        <w:gridCol w:w="779"/>
        <w:gridCol w:w="450"/>
        <w:gridCol w:w="5227"/>
        <w:gridCol w:w="1555"/>
        <w:gridCol w:w="1080"/>
        <w:gridCol w:w="553"/>
        <w:gridCol w:w="1066"/>
        <w:gridCol w:w="738"/>
        <w:gridCol w:w="2125"/>
      </w:tblGrid>
      <w:tr>
        <w:tblPrEx>
          <w:tblLayout w:type="fixed"/>
          <w:tblCellMar>
            <w:top w:w="0" w:type="dxa"/>
            <w:left w:w="108" w:type="dxa"/>
            <w:bottom w:w="0" w:type="dxa"/>
            <w:right w:w="108" w:type="dxa"/>
          </w:tblCellMar>
        </w:tblPrEx>
        <w:trPr>
          <w:trHeight w:val="375" w:hRule="atLeast"/>
        </w:trPr>
        <w:tc>
          <w:tcPr>
            <w:tcW w:w="14174" w:type="dxa"/>
            <w:gridSpan w:val="10"/>
            <w:tcBorders>
              <w:top w:val="nil"/>
              <w:left w:val="nil"/>
              <w:bottom w:val="nil"/>
              <w:right w:val="nil"/>
            </w:tcBorders>
            <w:shd w:val="clear" w:color="auto" w:fill="auto"/>
            <w:noWrap/>
            <w:vAlign w:val="center"/>
          </w:tcPr>
          <w:p>
            <w:pPr>
              <w:widowControl/>
              <w:jc w:val="both"/>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both"/>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政府性基金预算财政拨款收入支出决算表</w:t>
            </w:r>
          </w:p>
        </w:tc>
      </w:tr>
      <w:tr>
        <w:tblPrEx>
          <w:tblLayout w:type="fixed"/>
          <w:tblCellMar>
            <w:top w:w="0" w:type="dxa"/>
            <w:left w:w="108" w:type="dxa"/>
            <w:bottom w:w="0" w:type="dxa"/>
            <w:right w:w="108" w:type="dxa"/>
          </w:tblCellMar>
        </w:tblPrEx>
        <w:trPr>
          <w:trHeight w:val="300" w:hRule="atLeast"/>
        </w:trPr>
        <w:tc>
          <w:tcPr>
            <w:tcW w:w="601"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779"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450"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5227"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555"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553"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1066"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738" w:type="dxa"/>
            <w:tcBorders>
              <w:top w:val="nil"/>
              <w:left w:val="nil"/>
              <w:bottom w:val="nil"/>
              <w:right w:val="nil"/>
            </w:tcBorders>
            <w:shd w:val="clear" w:color="auto" w:fill="auto"/>
            <w:noWrap/>
            <w:vAlign w:val="center"/>
          </w:tcPr>
          <w:p>
            <w:pPr>
              <w:widowControl/>
              <w:jc w:val="left"/>
              <w:rPr>
                <w:rFonts w:ascii="宋体" w:hAnsi="宋体" w:eastAsia="宋体" w:cs="Arial"/>
                <w:kern w:val="0"/>
                <w:sz w:val="18"/>
                <w:szCs w:val="18"/>
              </w:rPr>
            </w:pPr>
          </w:p>
        </w:tc>
        <w:tc>
          <w:tcPr>
            <w:tcW w:w="2125" w:type="dxa"/>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金额单位：万元</w:t>
            </w:r>
          </w:p>
        </w:tc>
      </w:tr>
      <w:tr>
        <w:tblPrEx>
          <w:tblLayout w:type="fixed"/>
          <w:tblCellMar>
            <w:top w:w="0" w:type="dxa"/>
            <w:left w:w="108" w:type="dxa"/>
            <w:bottom w:w="0" w:type="dxa"/>
            <w:right w:w="108" w:type="dxa"/>
          </w:tblCellMar>
        </w:tblPrEx>
        <w:trPr>
          <w:trHeight w:val="300" w:hRule="atLeast"/>
        </w:trPr>
        <w:tc>
          <w:tcPr>
            <w:tcW w:w="7057" w:type="dxa"/>
            <w:gridSpan w:val="4"/>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部门：漯河经济技术开发区财政局</w:t>
            </w:r>
          </w:p>
        </w:tc>
        <w:tc>
          <w:tcPr>
            <w:tcW w:w="1555"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80"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53"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6"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38" w:type="dxa"/>
            <w:tcBorders>
              <w:top w:val="nil"/>
              <w:left w:val="nil"/>
              <w:bottom w:val="single" w:color="000000" w:sz="4" w:space="0"/>
              <w:right w:val="nil"/>
            </w:tcBorders>
            <w:shd w:val="clear" w:color="auto" w:fill="auto"/>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25" w:type="dxa"/>
            <w:tcBorders>
              <w:top w:val="nil"/>
              <w:left w:val="nil"/>
              <w:bottom w:val="single" w:color="000000" w:sz="4" w:space="0"/>
              <w:right w:val="nil"/>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公开08表</w:t>
            </w:r>
          </w:p>
        </w:tc>
      </w:tr>
      <w:tr>
        <w:tblPrEx>
          <w:tblLayout w:type="fixed"/>
          <w:tblCellMar>
            <w:top w:w="0" w:type="dxa"/>
            <w:left w:w="108" w:type="dxa"/>
            <w:bottom w:w="0" w:type="dxa"/>
            <w:right w:w="108" w:type="dxa"/>
          </w:tblCellMar>
        </w:tblPrEx>
        <w:trPr>
          <w:trHeight w:val="300" w:hRule="atLeast"/>
        </w:trPr>
        <w:tc>
          <w:tcPr>
            <w:tcW w:w="70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55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108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w:t>
            </w:r>
          </w:p>
        </w:tc>
        <w:tc>
          <w:tcPr>
            <w:tcW w:w="2357"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c>
          <w:tcPr>
            <w:tcW w:w="212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年末结转和结余</w:t>
            </w:r>
          </w:p>
        </w:tc>
      </w:tr>
      <w:tr>
        <w:tblPrEx>
          <w:tblLayout w:type="fixed"/>
          <w:tblCellMar>
            <w:top w:w="0" w:type="dxa"/>
            <w:left w:w="108" w:type="dxa"/>
            <w:bottom w:w="0" w:type="dxa"/>
            <w:right w:w="108" w:type="dxa"/>
          </w:tblCellMar>
        </w:tblPrEx>
        <w:trPr>
          <w:trHeight w:val="317" w:hRule="atLeast"/>
        </w:trPr>
        <w:tc>
          <w:tcPr>
            <w:tcW w:w="183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5227"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5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5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73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21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7" w:hRule="atLeast"/>
        </w:trPr>
        <w:tc>
          <w:tcPr>
            <w:tcW w:w="183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2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5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3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1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17" w:hRule="atLeast"/>
        </w:trPr>
        <w:tc>
          <w:tcPr>
            <w:tcW w:w="183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2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5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6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3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1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05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55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5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73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1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Layout w:type="fixed"/>
          <w:tblCellMar>
            <w:top w:w="0" w:type="dxa"/>
            <w:left w:w="108" w:type="dxa"/>
            <w:bottom w:w="0" w:type="dxa"/>
            <w:right w:w="108" w:type="dxa"/>
          </w:tblCellMar>
        </w:tblPrEx>
        <w:trPr>
          <w:trHeight w:val="300" w:hRule="atLeast"/>
        </w:trPr>
        <w:tc>
          <w:tcPr>
            <w:tcW w:w="7057"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5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5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7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21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r>
      <w:tr>
        <w:tblPrEx>
          <w:tblLayout w:type="fixed"/>
          <w:tblCellMar>
            <w:top w:w="0" w:type="dxa"/>
            <w:left w:w="108" w:type="dxa"/>
            <w:bottom w:w="0" w:type="dxa"/>
            <w:right w:w="108" w:type="dxa"/>
          </w:tblCellMar>
        </w:tblPrEx>
        <w:trPr>
          <w:trHeight w:val="300" w:hRule="atLeast"/>
        </w:trPr>
        <w:tc>
          <w:tcPr>
            <w:tcW w:w="183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22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5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55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14174" w:type="dxa"/>
            <w:gridSpan w:val="10"/>
            <w:tcBorders>
              <w:top w:val="nil"/>
              <w:left w:val="nil"/>
              <w:bottom w:val="nil"/>
              <w:right w:val="nil"/>
            </w:tcBorders>
            <w:shd w:val="clear" w:color="auto" w:fill="auto"/>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highlight w:val="none"/>
              </w:rPr>
              <w:t>注：我部门没有政府性基金收入，也没有使用政府性基金安排的支出，故本表无数据。</w:t>
            </w:r>
          </w:p>
        </w:tc>
      </w:tr>
    </w:tbl>
    <w:p>
      <w:pPr>
        <w:autoSpaceDE w:val="0"/>
        <w:autoSpaceDN w:val="0"/>
        <w:adjustRightInd w:val="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sectPr>
          <w:pgSz w:w="16838" w:h="11906" w:orient="landscape"/>
          <w:pgMar w:top="1587" w:right="1440" w:bottom="1531" w:left="1440" w:header="850" w:footer="992" w:gutter="0"/>
          <w:pgNumType w:fmt="numberInDash"/>
          <w:cols w:space="720" w:num="1"/>
          <w:docGrid w:type="lines" w:linePitch="317" w:charSpace="0"/>
        </w:sect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2018年度部门决算情况说明</w:t>
      </w: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left"/>
        <w:rPr>
          <w:rFonts w:ascii="黑体" w:hAnsi="Times New Roman" w:eastAsia="黑体" w:cs="黑体"/>
          <w:sz w:val="32"/>
          <w:szCs w:val="32"/>
        </w:rPr>
      </w:pP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一、收入支出决算总体情况说明</w:t>
      </w:r>
    </w:p>
    <w:p>
      <w:pPr>
        <w:widowControl/>
        <w:spacing w:line="590" w:lineRule="exact"/>
        <w:ind w:firstLine="640" w:firstLineChars="200"/>
        <w:jc w:val="both"/>
        <w:rPr>
          <w:rFonts w:hint="eastAsia" w:ascii="仿宋" w:hAnsi="仿宋" w:eastAsia="仿宋" w:cs="仿宋"/>
          <w:sz w:val="32"/>
          <w:szCs w:val="32"/>
          <w:highlight w:val="none"/>
          <w:shd w:val="clear" w:color="auto" w:fill="auto"/>
        </w:rPr>
      </w:pPr>
      <w:r>
        <w:rPr>
          <w:rFonts w:hint="eastAsia" w:ascii="仿宋_GB2312" w:hAnsi="Times New Roman" w:eastAsia="仿宋_GB2312" w:cs="黑体"/>
          <w:sz w:val="32"/>
          <w:szCs w:val="32"/>
        </w:rPr>
        <w:t>2018年度收、支总计均为</w:t>
      </w:r>
      <w:r>
        <w:rPr>
          <w:rFonts w:hint="eastAsia" w:ascii="宋体" w:hAnsi="宋体"/>
          <w:sz w:val="32"/>
          <w:szCs w:val="32"/>
          <w:lang w:val="zh-CN"/>
        </w:rPr>
        <w:t>312.55</w:t>
      </w:r>
      <w:r>
        <w:rPr>
          <w:rFonts w:hint="eastAsia" w:ascii="仿宋_GB2312" w:hAnsi="Times New Roman" w:eastAsia="仿宋_GB2312" w:cs="黑体"/>
          <w:sz w:val="32"/>
          <w:szCs w:val="32"/>
        </w:rPr>
        <w:t>万元。与上年度相比，收、支总计</w:t>
      </w:r>
      <w:r>
        <w:rPr>
          <w:rFonts w:hint="eastAsia" w:ascii="仿宋_GB2312" w:hAnsi="Times New Roman" w:eastAsia="仿宋_GB2312" w:cs="黑体"/>
          <w:sz w:val="32"/>
          <w:szCs w:val="32"/>
          <w:highlight w:val="none"/>
        </w:rPr>
        <w:t>各减少</w:t>
      </w:r>
      <w:r>
        <w:rPr>
          <w:rFonts w:hint="eastAsia" w:ascii="宋体" w:hAnsi="宋体"/>
          <w:sz w:val="32"/>
          <w:szCs w:val="32"/>
          <w:highlight w:val="none"/>
          <w:lang w:val="zh-CN"/>
        </w:rPr>
        <w:t>1</w:t>
      </w:r>
      <w:r>
        <w:rPr>
          <w:rFonts w:hint="eastAsia" w:ascii="宋体" w:hAnsi="宋体"/>
          <w:sz w:val="32"/>
          <w:szCs w:val="32"/>
          <w:lang w:val="zh-CN"/>
        </w:rPr>
        <w:t>9.03</w:t>
      </w:r>
      <w:r>
        <w:rPr>
          <w:rFonts w:hint="eastAsia" w:ascii="仿宋_GB2312" w:hAnsi="Times New Roman" w:eastAsia="仿宋_GB2312" w:cs="黑体"/>
          <w:sz w:val="32"/>
          <w:szCs w:val="32"/>
        </w:rPr>
        <w:t>万元，下降</w:t>
      </w:r>
      <w:r>
        <w:rPr>
          <w:rFonts w:hint="eastAsia" w:ascii="宋体" w:hAnsi="宋体"/>
          <w:sz w:val="32"/>
          <w:szCs w:val="32"/>
          <w:lang w:val="zh-CN"/>
        </w:rPr>
        <w:t>5.74</w:t>
      </w:r>
      <w:r>
        <w:rPr>
          <w:rFonts w:hint="eastAsia" w:ascii="仿宋_GB2312" w:hAnsi="Times New Roman" w:eastAsia="仿宋_GB2312" w:cs="黑体"/>
          <w:sz w:val="32"/>
          <w:szCs w:val="32"/>
        </w:rPr>
        <w:t>%。</w:t>
      </w:r>
      <w:r>
        <w:rPr>
          <w:rFonts w:hint="eastAsia" w:ascii="仿宋_GB2312" w:hAnsi="Times New Roman" w:eastAsia="仿宋_GB2312" w:cs="黑体"/>
          <w:sz w:val="32"/>
          <w:szCs w:val="32"/>
          <w:highlight w:val="none"/>
        </w:rPr>
        <w:t>主要原因是</w:t>
      </w:r>
      <w:r>
        <w:rPr>
          <w:rFonts w:hint="eastAsia" w:ascii="仿宋" w:hAnsi="仿宋" w:eastAsia="仿宋" w:cs="仿宋"/>
          <w:sz w:val="32"/>
          <w:szCs w:val="32"/>
          <w:highlight w:val="none"/>
          <w:shd w:val="clear" w:color="auto" w:fill="auto"/>
          <w:lang w:eastAsia="zh-CN"/>
        </w:rPr>
        <w:t>人员工资及相关支出减少</w:t>
      </w:r>
      <w:r>
        <w:rPr>
          <w:rFonts w:hint="eastAsia" w:ascii="仿宋" w:hAnsi="仿宋" w:eastAsia="仿宋" w:cs="仿宋"/>
          <w:sz w:val="32"/>
          <w:szCs w:val="32"/>
          <w:highlight w:val="none"/>
          <w:shd w:val="clear" w:color="auto" w:fill="auto"/>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二、收入决算情况说明</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2018年度收入合计</w:t>
      </w:r>
      <w:r>
        <w:rPr>
          <w:rFonts w:hint="eastAsia" w:ascii="宋体" w:hAnsi="宋体"/>
          <w:sz w:val="32"/>
          <w:szCs w:val="32"/>
          <w:lang w:val="zh-CN"/>
        </w:rPr>
        <w:t>277.0</w:t>
      </w:r>
      <w:r>
        <w:rPr>
          <w:rFonts w:hint="eastAsia" w:ascii="宋体" w:hAnsi="宋体"/>
          <w:sz w:val="32"/>
          <w:szCs w:val="32"/>
          <w:lang w:val="en-US" w:eastAsia="zh-CN"/>
        </w:rPr>
        <w:t>6</w:t>
      </w:r>
      <w:r>
        <w:rPr>
          <w:rFonts w:ascii="仿宋_GB2312" w:hAnsi="Times New Roman" w:eastAsia="仿宋_GB2312" w:cs="黑体"/>
          <w:sz w:val="32"/>
          <w:szCs w:val="32"/>
        </w:rPr>
        <w:t>万元，其中：财政拨款收入</w:t>
      </w:r>
      <w:r>
        <w:rPr>
          <w:rFonts w:hint="eastAsia" w:ascii="宋体" w:hAnsi="宋体"/>
          <w:sz w:val="32"/>
          <w:szCs w:val="32"/>
          <w:lang w:val="zh-CN"/>
        </w:rPr>
        <w:t>255.5</w:t>
      </w:r>
      <w:r>
        <w:rPr>
          <w:rFonts w:hint="eastAsia" w:ascii="宋体" w:hAnsi="宋体"/>
          <w:sz w:val="32"/>
          <w:szCs w:val="32"/>
          <w:lang w:val="en-US" w:eastAsia="zh-CN"/>
        </w:rPr>
        <w:t>8</w:t>
      </w:r>
      <w:r>
        <w:rPr>
          <w:rFonts w:ascii="仿宋_GB2312" w:hAnsi="Times New Roman" w:eastAsia="仿宋_GB2312" w:cs="黑体"/>
          <w:sz w:val="32"/>
          <w:szCs w:val="32"/>
        </w:rPr>
        <w:t>万元，占</w:t>
      </w:r>
      <w:r>
        <w:rPr>
          <w:rFonts w:hint="eastAsia" w:ascii="宋体" w:hAnsi="宋体"/>
          <w:sz w:val="32"/>
          <w:szCs w:val="32"/>
          <w:lang w:val="zh-CN"/>
        </w:rPr>
        <w:t>92.25</w:t>
      </w:r>
      <w:r>
        <w:rPr>
          <w:rFonts w:ascii="仿宋_GB2312" w:hAnsi="Times New Roman" w:eastAsia="仿宋_GB2312" w:cs="黑体"/>
          <w:sz w:val="32"/>
          <w:szCs w:val="32"/>
        </w:rPr>
        <w:t>%；其他收入</w:t>
      </w:r>
      <w:r>
        <w:rPr>
          <w:rFonts w:hint="eastAsia" w:ascii="宋体" w:hAnsi="宋体"/>
          <w:sz w:val="32"/>
          <w:szCs w:val="32"/>
          <w:lang w:val="zh-CN"/>
        </w:rPr>
        <w:t>21.48</w:t>
      </w:r>
      <w:r>
        <w:rPr>
          <w:rFonts w:ascii="仿宋_GB2312" w:hAnsi="Times New Roman" w:eastAsia="仿宋_GB2312" w:cs="黑体"/>
          <w:sz w:val="32"/>
          <w:szCs w:val="32"/>
        </w:rPr>
        <w:t>万元，占</w:t>
      </w:r>
      <w:r>
        <w:rPr>
          <w:rFonts w:hint="eastAsia" w:ascii="宋体" w:hAnsi="宋体"/>
          <w:sz w:val="32"/>
          <w:szCs w:val="32"/>
          <w:lang w:val="zh-CN"/>
        </w:rPr>
        <w:t>7.75</w:t>
      </w:r>
      <w:r>
        <w:rPr>
          <w:rFonts w:ascii="仿宋_GB2312" w:hAnsi="Times New Roman" w:eastAsia="仿宋_GB2312" w:cs="黑体"/>
          <w:sz w:val="32"/>
          <w:szCs w:val="32"/>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三、支出决算情况说明</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2018年度支出合计</w:t>
      </w:r>
      <w:r>
        <w:rPr>
          <w:rFonts w:hint="eastAsia" w:ascii="宋体" w:hAnsi="宋体"/>
          <w:sz w:val="32"/>
          <w:szCs w:val="32"/>
          <w:lang w:val="zh-CN"/>
        </w:rPr>
        <w:t>309.17</w:t>
      </w:r>
      <w:r>
        <w:rPr>
          <w:rFonts w:ascii="仿宋_GB2312" w:hAnsi="Times New Roman" w:eastAsia="仿宋_GB2312" w:cs="黑体"/>
          <w:sz w:val="32"/>
          <w:szCs w:val="32"/>
        </w:rPr>
        <w:t>万元，其中：基本支出</w:t>
      </w:r>
      <w:r>
        <w:rPr>
          <w:rFonts w:hint="eastAsia" w:ascii="宋体" w:hAnsi="宋体"/>
          <w:sz w:val="32"/>
          <w:szCs w:val="32"/>
          <w:lang w:val="zh-CN"/>
        </w:rPr>
        <w:t>277.5</w:t>
      </w:r>
      <w:r>
        <w:rPr>
          <w:rFonts w:hint="eastAsia" w:ascii="宋体" w:hAnsi="宋体"/>
          <w:sz w:val="32"/>
          <w:szCs w:val="32"/>
          <w:lang w:val="en-US" w:eastAsia="zh-CN"/>
        </w:rPr>
        <w:t>1</w:t>
      </w:r>
      <w:r>
        <w:rPr>
          <w:rFonts w:ascii="仿宋_GB2312" w:hAnsi="Times New Roman" w:eastAsia="仿宋_GB2312" w:cs="黑体"/>
          <w:sz w:val="32"/>
          <w:szCs w:val="32"/>
        </w:rPr>
        <w:t xml:space="preserve">万元，占 </w:t>
      </w:r>
      <w:r>
        <w:rPr>
          <w:rFonts w:hint="eastAsia" w:ascii="宋体" w:hAnsi="宋体"/>
          <w:sz w:val="32"/>
          <w:szCs w:val="32"/>
          <w:lang w:val="zh-CN"/>
        </w:rPr>
        <w:t>89.76</w:t>
      </w:r>
      <w:r>
        <w:rPr>
          <w:rFonts w:ascii="仿宋_GB2312" w:hAnsi="Times New Roman" w:eastAsia="仿宋_GB2312" w:cs="黑体"/>
          <w:sz w:val="32"/>
          <w:szCs w:val="32"/>
        </w:rPr>
        <w:t>%；项目支出</w:t>
      </w:r>
      <w:r>
        <w:rPr>
          <w:rFonts w:hint="eastAsia" w:ascii="宋体" w:hAnsi="宋体"/>
          <w:sz w:val="32"/>
          <w:szCs w:val="32"/>
          <w:lang w:val="zh-CN"/>
        </w:rPr>
        <w:t>31.66</w:t>
      </w:r>
      <w:r>
        <w:rPr>
          <w:rFonts w:ascii="仿宋_GB2312" w:hAnsi="Times New Roman" w:eastAsia="仿宋_GB2312" w:cs="黑体"/>
          <w:sz w:val="32"/>
          <w:szCs w:val="32"/>
        </w:rPr>
        <w:t>万元，占</w:t>
      </w:r>
      <w:r>
        <w:rPr>
          <w:rFonts w:hint="eastAsia" w:ascii="宋体" w:hAnsi="宋体"/>
          <w:sz w:val="32"/>
          <w:szCs w:val="32"/>
          <w:lang w:val="zh-CN"/>
        </w:rPr>
        <w:t>10.24</w:t>
      </w:r>
      <w:r>
        <w:rPr>
          <w:rFonts w:ascii="仿宋_GB2312" w:hAnsi="Times New Roman" w:eastAsia="仿宋_GB2312" w:cs="黑体"/>
          <w:sz w:val="32"/>
          <w:szCs w:val="32"/>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四、财政拨款收入支出决算总体情况说明</w:t>
      </w:r>
    </w:p>
    <w:p>
      <w:pPr>
        <w:widowControl/>
        <w:spacing w:line="590" w:lineRule="exact"/>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2018年度财政拨款收、支总计均为</w:t>
      </w:r>
      <w:r>
        <w:rPr>
          <w:rFonts w:hint="eastAsia" w:ascii="宋体" w:hAnsi="宋体"/>
          <w:sz w:val="32"/>
          <w:szCs w:val="32"/>
          <w:lang w:val="zh-CN"/>
        </w:rPr>
        <w:t>282.5</w:t>
      </w:r>
      <w:r>
        <w:rPr>
          <w:rFonts w:hint="eastAsia" w:ascii="宋体" w:hAnsi="宋体"/>
          <w:sz w:val="32"/>
          <w:szCs w:val="32"/>
          <w:lang w:val="en-US" w:eastAsia="zh-CN"/>
        </w:rPr>
        <w:t>4</w:t>
      </w:r>
      <w:r>
        <w:rPr>
          <w:rFonts w:ascii="仿宋_GB2312" w:hAnsi="Times New Roman" w:eastAsia="仿宋_GB2312" w:cs="黑体"/>
          <w:sz w:val="32"/>
          <w:szCs w:val="32"/>
        </w:rPr>
        <w:t>万元。与上年度相比，财政拨款收、支总计各减少</w:t>
      </w:r>
      <w:r>
        <w:rPr>
          <w:rFonts w:hint="eastAsia" w:ascii="宋体" w:hAnsi="宋体"/>
          <w:sz w:val="32"/>
          <w:szCs w:val="32"/>
          <w:lang w:val="zh-CN"/>
        </w:rPr>
        <w:t>28.12</w:t>
      </w:r>
      <w:r>
        <w:rPr>
          <w:rFonts w:ascii="仿宋_GB2312" w:hAnsi="Times New Roman" w:eastAsia="仿宋_GB2312" w:cs="黑体"/>
          <w:sz w:val="32"/>
          <w:szCs w:val="32"/>
        </w:rPr>
        <w:t>万元，下降</w:t>
      </w:r>
      <w:r>
        <w:rPr>
          <w:rFonts w:hint="eastAsia" w:ascii="宋体" w:hAnsi="宋体"/>
          <w:sz w:val="32"/>
          <w:szCs w:val="32"/>
          <w:lang w:val="zh-CN"/>
        </w:rPr>
        <w:t>9.05</w:t>
      </w:r>
      <w:r>
        <w:rPr>
          <w:rFonts w:ascii="仿宋_GB2312" w:hAnsi="Times New Roman" w:eastAsia="仿宋_GB2312" w:cs="黑体"/>
          <w:sz w:val="32"/>
          <w:szCs w:val="32"/>
        </w:rPr>
        <w:t>%。</w:t>
      </w:r>
      <w:r>
        <w:rPr>
          <w:rFonts w:ascii="仿宋_GB2312" w:hAnsi="Times New Roman" w:eastAsia="仿宋_GB2312" w:cs="黑体"/>
          <w:sz w:val="32"/>
          <w:szCs w:val="32"/>
          <w:highlight w:val="none"/>
        </w:rPr>
        <w:t>主要原因是</w:t>
      </w:r>
      <w:r>
        <w:rPr>
          <w:rFonts w:hint="eastAsia" w:ascii="仿宋" w:hAnsi="仿宋" w:eastAsia="仿宋" w:cs="仿宋"/>
          <w:sz w:val="32"/>
          <w:szCs w:val="32"/>
          <w:highlight w:val="none"/>
          <w:shd w:val="clear" w:color="auto" w:fill="auto"/>
          <w:lang w:eastAsia="zh-CN"/>
        </w:rPr>
        <w:t>人员工资及相关支出减少</w:t>
      </w:r>
      <w:r>
        <w:rPr>
          <w:rFonts w:hint="eastAsia" w:ascii="仿宋" w:hAnsi="仿宋" w:eastAsia="仿宋" w:cs="仿宋"/>
          <w:sz w:val="32"/>
          <w:szCs w:val="32"/>
          <w:highlight w:val="none"/>
          <w:shd w:val="clear" w:color="auto" w:fill="auto"/>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五、一般公共预算财政拨款支出决算情况说明</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（一）总体情况。</w:t>
      </w:r>
    </w:p>
    <w:p>
      <w:pPr>
        <w:widowControl/>
        <w:spacing w:line="590" w:lineRule="exact"/>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2018年度一般公共预算财政拨款支出</w:t>
      </w:r>
      <w:r>
        <w:rPr>
          <w:rFonts w:hint="eastAsia" w:ascii="宋体" w:hAnsi="宋体"/>
          <w:sz w:val="32"/>
          <w:szCs w:val="32"/>
          <w:lang w:val="zh-CN"/>
        </w:rPr>
        <w:t>279.1</w:t>
      </w:r>
      <w:r>
        <w:rPr>
          <w:rFonts w:hint="eastAsia" w:ascii="宋体" w:hAnsi="宋体"/>
          <w:sz w:val="32"/>
          <w:szCs w:val="32"/>
          <w:lang w:val="en-US" w:eastAsia="zh-CN"/>
        </w:rPr>
        <w:t>6</w:t>
      </w:r>
      <w:r>
        <w:rPr>
          <w:rFonts w:ascii="仿宋_GB2312" w:hAnsi="Times New Roman" w:eastAsia="仿宋_GB2312" w:cs="黑体"/>
          <w:sz w:val="32"/>
          <w:szCs w:val="32"/>
        </w:rPr>
        <w:t>万元，占本年支出合计的</w:t>
      </w:r>
      <w:r>
        <w:rPr>
          <w:rFonts w:hint="eastAsia" w:ascii="宋体" w:hAnsi="宋体"/>
          <w:sz w:val="32"/>
          <w:szCs w:val="32"/>
          <w:lang w:val="zh-CN"/>
        </w:rPr>
        <w:t>90.29</w:t>
      </w:r>
      <w:r>
        <w:rPr>
          <w:rFonts w:ascii="仿宋_GB2312" w:hAnsi="Times New Roman" w:eastAsia="仿宋_GB2312" w:cs="黑体"/>
          <w:sz w:val="32"/>
          <w:szCs w:val="32"/>
        </w:rPr>
        <w:t>%。与上年度相比，一般公共预算财政拨款支出减少</w:t>
      </w:r>
      <w:r>
        <w:rPr>
          <w:rFonts w:hint="eastAsia" w:ascii="宋体" w:hAnsi="宋体"/>
          <w:sz w:val="32"/>
          <w:szCs w:val="32"/>
          <w:lang w:val="zh-CN"/>
        </w:rPr>
        <w:t>2.38</w:t>
      </w:r>
      <w:r>
        <w:rPr>
          <w:rFonts w:ascii="仿宋_GB2312" w:hAnsi="Times New Roman" w:eastAsia="仿宋_GB2312" w:cs="黑体"/>
          <w:sz w:val="32"/>
          <w:szCs w:val="32"/>
        </w:rPr>
        <w:t>万元，下降</w:t>
      </w:r>
      <w:r>
        <w:rPr>
          <w:rFonts w:hint="eastAsia" w:ascii="宋体" w:hAnsi="宋体"/>
          <w:sz w:val="32"/>
          <w:szCs w:val="32"/>
          <w:lang w:val="zh-CN"/>
        </w:rPr>
        <w:t>0.84</w:t>
      </w:r>
      <w:r>
        <w:rPr>
          <w:rFonts w:ascii="仿宋_GB2312" w:hAnsi="Times New Roman" w:eastAsia="仿宋_GB2312" w:cs="黑体"/>
          <w:sz w:val="32"/>
          <w:szCs w:val="32"/>
        </w:rPr>
        <w:t>%。</w:t>
      </w:r>
      <w:r>
        <w:rPr>
          <w:rFonts w:ascii="仿宋_GB2312" w:hAnsi="Times New Roman" w:eastAsia="仿宋_GB2312" w:cs="黑体"/>
          <w:sz w:val="32"/>
          <w:szCs w:val="32"/>
          <w:highlight w:val="none"/>
        </w:rPr>
        <w:t>主要原因是</w:t>
      </w:r>
      <w:r>
        <w:rPr>
          <w:rFonts w:hint="eastAsia" w:ascii="仿宋" w:hAnsi="仿宋" w:eastAsia="仿宋" w:cs="仿宋"/>
          <w:sz w:val="32"/>
          <w:szCs w:val="32"/>
          <w:highlight w:val="none"/>
          <w:shd w:val="clear" w:color="auto" w:fill="auto"/>
          <w:lang w:eastAsia="zh-CN"/>
        </w:rPr>
        <w:t>人员工资及相关支出减少</w:t>
      </w:r>
      <w:r>
        <w:rPr>
          <w:rFonts w:hint="eastAsia" w:ascii="仿宋" w:hAnsi="仿宋" w:eastAsia="仿宋" w:cs="仿宋"/>
          <w:sz w:val="32"/>
          <w:szCs w:val="32"/>
          <w:highlight w:val="none"/>
          <w:shd w:val="clear" w:color="auto" w:fill="auto"/>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（二）结构情况。</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2018年度一般公共预算财政拨款支出</w:t>
      </w:r>
      <w:r>
        <w:rPr>
          <w:rFonts w:hint="eastAsia" w:ascii="宋体" w:hAnsi="宋体"/>
          <w:sz w:val="32"/>
          <w:szCs w:val="32"/>
          <w:lang w:val="zh-CN"/>
        </w:rPr>
        <w:t>279.1</w:t>
      </w:r>
      <w:r>
        <w:rPr>
          <w:rFonts w:hint="eastAsia" w:ascii="宋体" w:hAnsi="宋体"/>
          <w:sz w:val="32"/>
          <w:szCs w:val="32"/>
          <w:lang w:val="en-US" w:eastAsia="zh-CN"/>
        </w:rPr>
        <w:t>6</w:t>
      </w:r>
      <w:r>
        <w:rPr>
          <w:rFonts w:ascii="仿宋_GB2312" w:hAnsi="Times New Roman" w:eastAsia="仿宋_GB2312" w:cs="黑体"/>
          <w:sz w:val="32"/>
          <w:szCs w:val="32"/>
        </w:rPr>
        <w:t>万元，主要用于以下方面：一般公共服务（类）支出</w:t>
      </w:r>
      <w:r>
        <w:rPr>
          <w:rFonts w:hint="eastAsia" w:ascii="仿宋_GB2312" w:hAnsi="Times New Roman" w:eastAsia="仿宋_GB2312" w:cs="黑体"/>
          <w:sz w:val="32"/>
          <w:szCs w:val="32"/>
        </w:rPr>
        <w:t>240.73</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86.23</w:t>
      </w:r>
      <w:r>
        <w:rPr>
          <w:rFonts w:ascii="仿宋_GB2312" w:hAnsi="Times New Roman" w:eastAsia="仿宋_GB2312" w:cs="黑体"/>
          <w:sz w:val="32"/>
          <w:szCs w:val="32"/>
        </w:rPr>
        <w:t>%；</w:t>
      </w:r>
      <w:r>
        <w:rPr>
          <w:rFonts w:hint="eastAsia" w:ascii="仿宋_GB2312" w:hAnsi="Times New Roman" w:eastAsia="仿宋_GB2312" w:cs="黑体"/>
          <w:sz w:val="32"/>
          <w:szCs w:val="32"/>
        </w:rPr>
        <w:t>社会保障和就业</w:t>
      </w:r>
      <w:r>
        <w:rPr>
          <w:rFonts w:ascii="仿宋_GB2312" w:hAnsi="Times New Roman" w:eastAsia="仿宋_GB2312" w:cs="黑体"/>
          <w:sz w:val="32"/>
          <w:szCs w:val="32"/>
        </w:rPr>
        <w:t>（类）支出</w:t>
      </w:r>
      <w:r>
        <w:rPr>
          <w:rFonts w:hint="eastAsia" w:ascii="仿宋_GB2312" w:hAnsi="Times New Roman" w:eastAsia="仿宋_GB2312" w:cs="黑体"/>
          <w:sz w:val="32"/>
          <w:szCs w:val="32"/>
        </w:rPr>
        <w:t>16.99</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6.09</w:t>
      </w:r>
      <w:r>
        <w:rPr>
          <w:rFonts w:ascii="仿宋_GB2312" w:hAnsi="Times New Roman" w:eastAsia="仿宋_GB2312" w:cs="黑体"/>
          <w:sz w:val="32"/>
          <w:szCs w:val="32"/>
        </w:rPr>
        <w:t>%；</w:t>
      </w:r>
      <w:r>
        <w:rPr>
          <w:rFonts w:hint="eastAsia" w:ascii="仿宋_GB2312" w:hAnsi="Times New Roman" w:eastAsia="仿宋_GB2312" w:cs="黑体"/>
          <w:sz w:val="32"/>
          <w:szCs w:val="32"/>
        </w:rPr>
        <w:t>医疗卫生与计划生育</w:t>
      </w:r>
      <w:r>
        <w:rPr>
          <w:rFonts w:ascii="仿宋_GB2312" w:hAnsi="Times New Roman" w:eastAsia="仿宋_GB2312" w:cs="黑体"/>
          <w:sz w:val="32"/>
          <w:szCs w:val="32"/>
        </w:rPr>
        <w:t>（类）支出</w:t>
      </w:r>
      <w:r>
        <w:rPr>
          <w:rFonts w:hint="eastAsia" w:ascii="仿宋_GB2312" w:hAnsi="Times New Roman" w:eastAsia="仿宋_GB2312" w:cs="黑体"/>
          <w:sz w:val="32"/>
          <w:szCs w:val="32"/>
        </w:rPr>
        <w:t>10.74</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3.85</w:t>
      </w:r>
      <w:r>
        <w:rPr>
          <w:rFonts w:ascii="仿宋_GB2312" w:hAnsi="Times New Roman" w:eastAsia="仿宋_GB2312" w:cs="黑体"/>
          <w:sz w:val="32"/>
          <w:szCs w:val="32"/>
        </w:rPr>
        <w:t>%；</w:t>
      </w:r>
      <w:r>
        <w:rPr>
          <w:rFonts w:hint="eastAsia" w:ascii="仿宋_GB2312" w:hAnsi="Times New Roman" w:eastAsia="仿宋_GB2312" w:cs="黑体"/>
          <w:sz w:val="32"/>
          <w:szCs w:val="32"/>
        </w:rPr>
        <w:t>住房保障</w:t>
      </w:r>
      <w:r>
        <w:rPr>
          <w:rFonts w:ascii="仿宋_GB2312" w:hAnsi="Times New Roman" w:eastAsia="仿宋_GB2312" w:cs="黑体"/>
          <w:sz w:val="32"/>
          <w:szCs w:val="32"/>
        </w:rPr>
        <w:t>（类）支出</w:t>
      </w:r>
      <w:r>
        <w:rPr>
          <w:rFonts w:hint="eastAsia" w:ascii="仿宋_GB2312" w:hAnsi="Times New Roman" w:eastAsia="仿宋_GB2312" w:cs="黑体"/>
          <w:sz w:val="32"/>
          <w:szCs w:val="32"/>
        </w:rPr>
        <w:t>10.69</w:t>
      </w:r>
      <w:r>
        <w:rPr>
          <w:rFonts w:ascii="仿宋_GB2312" w:hAnsi="Times New Roman" w:eastAsia="仿宋_GB2312" w:cs="黑体"/>
          <w:sz w:val="32"/>
          <w:szCs w:val="32"/>
        </w:rPr>
        <w:t>万元，占</w:t>
      </w:r>
      <w:r>
        <w:rPr>
          <w:rFonts w:hint="eastAsia" w:ascii="仿宋_GB2312" w:hAnsi="Times New Roman" w:eastAsia="仿宋_GB2312" w:cs="黑体"/>
          <w:sz w:val="32"/>
          <w:szCs w:val="32"/>
          <w:lang w:val="en-US" w:eastAsia="zh-CN"/>
        </w:rPr>
        <w:t>3.83</w:t>
      </w:r>
      <w:r>
        <w:rPr>
          <w:rFonts w:ascii="仿宋_GB2312" w:hAnsi="Times New Roman" w:eastAsia="仿宋_GB2312" w:cs="黑体"/>
          <w:sz w:val="32"/>
          <w:szCs w:val="32"/>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（三）具体情况。</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2018年度一般公共预算财政拨款支出年初预算为</w:t>
      </w:r>
      <w:r>
        <w:rPr>
          <w:rFonts w:hint="eastAsia" w:ascii="宋体" w:hAnsi="宋体"/>
          <w:sz w:val="32"/>
          <w:szCs w:val="32"/>
          <w:lang w:val="zh-CN"/>
        </w:rPr>
        <w:t>279.1</w:t>
      </w:r>
      <w:r>
        <w:rPr>
          <w:rFonts w:hint="eastAsia" w:ascii="宋体" w:hAnsi="宋体"/>
          <w:sz w:val="32"/>
          <w:szCs w:val="32"/>
          <w:lang w:val="en-US" w:eastAsia="zh-CN"/>
        </w:rPr>
        <w:t>6</w:t>
      </w:r>
      <w:r>
        <w:rPr>
          <w:rFonts w:ascii="仿宋_GB2312" w:hAnsi="Times New Roman" w:eastAsia="仿宋_GB2312" w:cs="黑体"/>
          <w:sz w:val="32"/>
          <w:szCs w:val="32"/>
        </w:rPr>
        <w:t>万元，支出决算为</w:t>
      </w:r>
      <w:r>
        <w:rPr>
          <w:rFonts w:hint="eastAsia" w:ascii="宋体" w:hAnsi="宋体"/>
          <w:sz w:val="32"/>
          <w:szCs w:val="32"/>
          <w:lang w:val="zh-CN"/>
        </w:rPr>
        <w:t>279.1</w:t>
      </w:r>
      <w:r>
        <w:rPr>
          <w:rFonts w:hint="eastAsia" w:ascii="宋体" w:hAnsi="宋体"/>
          <w:sz w:val="32"/>
          <w:szCs w:val="32"/>
          <w:lang w:val="en-US" w:eastAsia="zh-CN"/>
        </w:rPr>
        <w:t>6</w:t>
      </w:r>
      <w:r>
        <w:rPr>
          <w:rFonts w:ascii="仿宋_GB2312" w:hAnsi="Times New Roman" w:eastAsia="仿宋_GB2312" w:cs="黑体"/>
          <w:sz w:val="32"/>
          <w:szCs w:val="32"/>
        </w:rPr>
        <w:t>万元，完成年初预算的</w:t>
      </w:r>
      <w:r>
        <w:rPr>
          <w:rFonts w:hint="eastAsia" w:ascii="宋体" w:hAnsi="宋体"/>
          <w:sz w:val="32"/>
          <w:szCs w:val="32"/>
          <w:lang w:val="zh-CN"/>
        </w:rPr>
        <w:t>100</w:t>
      </w:r>
      <w:r>
        <w:rPr>
          <w:rFonts w:ascii="仿宋_GB2312" w:hAnsi="Times New Roman" w:eastAsia="仿宋_GB2312" w:cs="黑体"/>
          <w:sz w:val="32"/>
          <w:szCs w:val="32"/>
        </w:rPr>
        <w:t>%。其中：</w:t>
      </w:r>
    </w:p>
    <w:p>
      <w:pPr>
        <w:widowControl/>
        <w:spacing w:line="590" w:lineRule="exact"/>
        <w:ind w:firstLine="643" w:firstLineChars="200"/>
        <w:jc w:val="both"/>
        <w:rPr>
          <w:rFonts w:ascii="仿宋_GB2312" w:hAnsi="Times New Roman" w:eastAsia="仿宋_GB2312" w:cs="黑体"/>
          <w:sz w:val="32"/>
          <w:szCs w:val="32"/>
          <w:highlight w:val="none"/>
        </w:rPr>
      </w:pPr>
      <w:r>
        <w:rPr>
          <w:rFonts w:ascii="仿宋_GB2312" w:hAnsi="Times New Roman" w:eastAsia="仿宋_GB2312" w:cs="黑体"/>
          <w:b/>
          <w:bCs/>
          <w:sz w:val="32"/>
          <w:szCs w:val="32"/>
        </w:rPr>
        <w:t>1．</w:t>
      </w:r>
      <w:r>
        <w:rPr>
          <w:rFonts w:hint="eastAsia" w:ascii="仿宋_GB2312" w:hAnsi="Times New Roman" w:eastAsia="仿宋_GB2312" w:cs="黑体"/>
          <w:b/>
          <w:bCs/>
          <w:sz w:val="32"/>
          <w:szCs w:val="32"/>
        </w:rPr>
        <w:t>一般公共服务支出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民主党派及工商联事务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行政运行</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160.04</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209.07</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130.63</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 w:hAnsi="仿宋" w:eastAsia="仿宋" w:cs="仿宋"/>
          <w:sz w:val="32"/>
          <w:szCs w:val="32"/>
          <w:highlight w:val="none"/>
          <w:shd w:val="clear" w:color="auto" w:fill="auto"/>
          <w:lang w:eastAsia="zh-CN"/>
        </w:rPr>
        <w:t>人员工资及相关支出增加</w:t>
      </w:r>
      <w:r>
        <w:rPr>
          <w:rFonts w:hint="eastAsia" w:ascii="仿宋" w:hAnsi="仿宋" w:eastAsia="仿宋" w:cs="仿宋"/>
          <w:sz w:val="32"/>
          <w:szCs w:val="32"/>
          <w:highlight w:val="none"/>
          <w:shd w:val="clear" w:color="auto" w:fill="auto"/>
        </w:rPr>
        <w:t>。</w:t>
      </w:r>
    </w:p>
    <w:p>
      <w:pPr>
        <w:autoSpaceDE w:val="0"/>
        <w:autoSpaceDN w:val="0"/>
        <w:adjustRightInd w:val="0"/>
        <w:ind w:firstLine="640" w:firstLineChars="200"/>
        <w:jc w:val="both"/>
        <w:rPr>
          <w:rFonts w:ascii="仿宋_GB2312" w:hAnsi="Times New Roman" w:eastAsia="仿宋_GB2312" w:cs="黑体"/>
          <w:sz w:val="32"/>
          <w:szCs w:val="32"/>
          <w:highlight w:val="none"/>
        </w:rPr>
      </w:pPr>
      <w:r>
        <w:rPr>
          <w:rFonts w:ascii="仿宋_GB2312" w:hAnsi="Times New Roman" w:eastAsia="仿宋_GB2312" w:cs="黑体"/>
          <w:sz w:val="32"/>
          <w:szCs w:val="32"/>
        </w:rPr>
        <w:t>2．</w:t>
      </w:r>
      <w:r>
        <w:rPr>
          <w:rFonts w:hint="eastAsia" w:ascii="仿宋_GB2312" w:hAnsi="Times New Roman" w:eastAsia="仿宋_GB2312" w:cs="黑体"/>
          <w:b/>
          <w:bCs/>
          <w:sz w:val="32"/>
          <w:szCs w:val="32"/>
        </w:rPr>
        <w:t>一般公共服务支出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民主党派及工商联事务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参政议政</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25</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24.83</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99.32</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 w:hAnsi="仿宋" w:eastAsia="仿宋" w:cs="仿宋"/>
          <w:color w:val="auto"/>
          <w:sz w:val="32"/>
          <w:szCs w:val="32"/>
          <w:highlight w:val="none"/>
          <w:lang w:eastAsia="zh-CN"/>
        </w:rPr>
        <w:t>厉行节约，运行成本减低</w:t>
      </w:r>
      <w:r>
        <w:rPr>
          <w:rFonts w:ascii="仿宋_GB2312" w:hAnsi="Times New Roman" w:eastAsia="仿宋_GB2312" w:cs="黑体"/>
          <w:sz w:val="32"/>
          <w:szCs w:val="32"/>
          <w:highlight w:val="none"/>
        </w:rPr>
        <w:t>。</w:t>
      </w:r>
    </w:p>
    <w:p>
      <w:pPr>
        <w:autoSpaceDE w:val="0"/>
        <w:autoSpaceDN w:val="0"/>
        <w:adjustRightInd w:val="0"/>
        <w:ind w:firstLine="640" w:firstLineChars="200"/>
        <w:jc w:val="both"/>
        <w:rPr>
          <w:rFonts w:ascii="仿宋_GB2312" w:hAnsi="Times New Roman" w:eastAsia="仿宋_GB2312" w:cs="黑体"/>
          <w:sz w:val="32"/>
          <w:szCs w:val="32"/>
          <w:highlight w:val="none"/>
        </w:rPr>
      </w:pPr>
      <w:r>
        <w:rPr>
          <w:rFonts w:hint="eastAsia" w:ascii="仿宋_GB2312" w:hAnsi="Times New Roman" w:eastAsia="仿宋_GB2312" w:cs="黑体"/>
          <w:sz w:val="32"/>
          <w:szCs w:val="32"/>
          <w:lang w:val="en-US" w:eastAsia="zh-CN"/>
        </w:rPr>
        <w:t>3</w:t>
      </w:r>
      <w:r>
        <w:rPr>
          <w:rFonts w:ascii="仿宋_GB2312" w:hAnsi="Times New Roman" w:eastAsia="仿宋_GB2312" w:cs="黑体"/>
          <w:sz w:val="32"/>
          <w:szCs w:val="32"/>
        </w:rPr>
        <w:t>．</w:t>
      </w:r>
      <w:r>
        <w:rPr>
          <w:rFonts w:hint="eastAsia" w:ascii="仿宋_GB2312" w:hAnsi="Times New Roman" w:eastAsia="仿宋_GB2312" w:cs="黑体"/>
          <w:b/>
          <w:bCs/>
          <w:sz w:val="32"/>
          <w:szCs w:val="32"/>
        </w:rPr>
        <w:t>一般公共服务支出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民主党派及工商联事务</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其他民主党派及工商联事务支出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7</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6.83</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97.57</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 w:hAnsi="仿宋" w:eastAsia="仿宋" w:cs="仿宋"/>
          <w:color w:val="auto"/>
          <w:sz w:val="32"/>
          <w:szCs w:val="32"/>
          <w:highlight w:val="none"/>
          <w:lang w:eastAsia="zh-CN"/>
        </w:rPr>
        <w:t>厉行节约，运行成本减低</w:t>
      </w:r>
      <w:r>
        <w:rPr>
          <w:rFonts w:ascii="仿宋_GB2312" w:hAnsi="Times New Roman" w:eastAsia="仿宋_GB2312" w:cs="黑体"/>
          <w:sz w:val="32"/>
          <w:szCs w:val="32"/>
          <w:highlight w:val="none"/>
        </w:rPr>
        <w:t>。</w:t>
      </w:r>
    </w:p>
    <w:p>
      <w:pPr>
        <w:autoSpaceDE w:val="0"/>
        <w:autoSpaceDN w:val="0"/>
        <w:adjustRightInd w:val="0"/>
        <w:ind w:firstLine="640" w:firstLineChars="200"/>
        <w:jc w:val="both"/>
        <w:rPr>
          <w:rFonts w:ascii="仿宋_GB2312" w:hAnsi="Times New Roman" w:eastAsia="仿宋_GB2312" w:cs="黑体"/>
          <w:sz w:val="32"/>
          <w:szCs w:val="32"/>
          <w:highlight w:val="none"/>
        </w:rPr>
      </w:pPr>
      <w:r>
        <w:rPr>
          <w:rFonts w:hint="eastAsia" w:ascii="仿宋_GB2312" w:hAnsi="Times New Roman" w:eastAsia="仿宋_GB2312" w:cs="黑体"/>
          <w:sz w:val="32"/>
          <w:szCs w:val="32"/>
          <w:lang w:val="en-US" w:eastAsia="zh-CN"/>
        </w:rPr>
        <w:t>4</w:t>
      </w:r>
      <w:r>
        <w:rPr>
          <w:rFonts w:ascii="仿宋_GB2312" w:hAnsi="Times New Roman" w:eastAsia="仿宋_GB2312" w:cs="黑体"/>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行政事业单位离退休</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归口管理的行政单位离退休</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2.95</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9.78</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331</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_GB2312" w:hAnsi="Times New Roman" w:eastAsia="仿宋_GB2312" w:cs="黑体"/>
          <w:sz w:val="32"/>
          <w:szCs w:val="32"/>
          <w:highlight w:val="none"/>
          <w:lang w:eastAsia="zh-CN"/>
        </w:rPr>
        <w:t>人员变动，以实际参保人员结算</w:t>
      </w:r>
      <w:r>
        <w:rPr>
          <w:rFonts w:ascii="仿宋_GB2312" w:hAnsi="Times New Roman" w:eastAsia="仿宋_GB2312" w:cs="黑体"/>
          <w:sz w:val="32"/>
          <w:szCs w:val="32"/>
          <w:highlight w:val="none"/>
        </w:rPr>
        <w:t>。</w:t>
      </w:r>
    </w:p>
    <w:p>
      <w:pPr>
        <w:autoSpaceDE w:val="0"/>
        <w:autoSpaceDN w:val="0"/>
        <w:adjustRightInd w:val="0"/>
        <w:ind w:firstLine="640" w:firstLineChars="200"/>
        <w:jc w:val="both"/>
        <w:rPr>
          <w:rFonts w:ascii="仿宋_GB2312" w:hAnsi="Times New Roman" w:eastAsia="仿宋_GB2312" w:cs="黑体"/>
          <w:sz w:val="32"/>
          <w:szCs w:val="32"/>
          <w:highlight w:val="none"/>
        </w:rPr>
      </w:pPr>
      <w:r>
        <w:rPr>
          <w:rFonts w:hint="eastAsia" w:ascii="仿宋_GB2312" w:hAnsi="Times New Roman" w:eastAsia="仿宋_GB2312" w:cs="黑体"/>
          <w:sz w:val="32"/>
          <w:szCs w:val="32"/>
          <w:lang w:val="en-US" w:eastAsia="zh-CN"/>
        </w:rPr>
        <w:t>5</w:t>
      </w:r>
      <w:r>
        <w:rPr>
          <w:rFonts w:ascii="仿宋_GB2312" w:hAnsi="Times New Roman" w:eastAsia="仿宋_GB2312" w:cs="黑体"/>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行政事业单位离退休</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机关事业单位基本养老保险缴费支出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19.3</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6.24</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32.33</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_GB2312" w:hAnsi="Times New Roman" w:eastAsia="仿宋_GB2312" w:cs="黑体"/>
          <w:sz w:val="32"/>
          <w:szCs w:val="32"/>
          <w:highlight w:val="none"/>
          <w:lang w:eastAsia="zh-CN"/>
        </w:rPr>
        <w:t>人员变动，以实际参保人员结算</w:t>
      </w:r>
      <w:r>
        <w:rPr>
          <w:rFonts w:ascii="仿宋_GB2312" w:hAnsi="Times New Roman" w:eastAsia="仿宋_GB2312" w:cs="黑体"/>
          <w:sz w:val="32"/>
          <w:szCs w:val="32"/>
          <w:highlight w:val="none"/>
        </w:rPr>
        <w:t>。</w:t>
      </w:r>
    </w:p>
    <w:p>
      <w:pPr>
        <w:autoSpaceDE w:val="0"/>
        <w:autoSpaceDN w:val="0"/>
        <w:adjustRightInd w:val="0"/>
        <w:ind w:firstLine="640" w:firstLineChars="200"/>
        <w:jc w:val="both"/>
        <w:rPr>
          <w:rFonts w:ascii="仿宋_GB2312" w:hAnsi="Times New Roman" w:eastAsia="仿宋_GB2312" w:cs="黑体"/>
          <w:sz w:val="32"/>
          <w:szCs w:val="32"/>
          <w:highlight w:val="yellow"/>
        </w:rPr>
      </w:pPr>
      <w:r>
        <w:rPr>
          <w:rFonts w:hint="eastAsia" w:ascii="仿宋_GB2312" w:hAnsi="Times New Roman" w:eastAsia="仿宋_GB2312" w:cs="黑体"/>
          <w:sz w:val="32"/>
          <w:szCs w:val="32"/>
          <w:lang w:val="en-US" w:eastAsia="zh-CN"/>
        </w:rPr>
        <w:t>6</w:t>
      </w:r>
      <w:r>
        <w:rPr>
          <w:rFonts w:ascii="仿宋_GB2312" w:hAnsi="Times New Roman" w:eastAsia="仿宋_GB2312" w:cs="黑体"/>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就业补助</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其他就业补助支出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0.71</w:t>
      </w:r>
      <w:r>
        <w:rPr>
          <w:rFonts w:ascii="仿宋_GB2312" w:hAnsi="Times New Roman" w:eastAsia="仿宋_GB2312" w:cs="黑体"/>
          <w:sz w:val="32"/>
          <w:szCs w:val="32"/>
        </w:rPr>
        <w:t>万元。</w:t>
      </w:r>
      <w:r>
        <w:rPr>
          <w:rFonts w:ascii="仿宋_GB2312" w:hAnsi="Times New Roman" w:eastAsia="仿宋_GB2312" w:cs="黑体"/>
          <w:sz w:val="32"/>
          <w:szCs w:val="32"/>
          <w:highlight w:val="none"/>
        </w:rPr>
        <w:t>决算数与年初预算数存在差异的主要原因是</w:t>
      </w:r>
      <w:r>
        <w:rPr>
          <w:rFonts w:hint="eastAsia" w:ascii="仿宋_GB2312" w:hAnsi="Times New Roman" w:eastAsia="仿宋_GB2312" w:cs="黑体"/>
          <w:sz w:val="32"/>
          <w:szCs w:val="32"/>
          <w:highlight w:val="none"/>
          <w:lang w:eastAsia="zh-CN"/>
        </w:rPr>
        <w:t>人员变动，以实际参保人员结算</w:t>
      </w:r>
      <w:r>
        <w:rPr>
          <w:rFonts w:ascii="仿宋_GB2312" w:hAnsi="Times New Roman" w:eastAsia="仿宋_GB2312" w:cs="黑体"/>
          <w:sz w:val="32"/>
          <w:szCs w:val="32"/>
          <w:highlight w:val="none"/>
        </w:rPr>
        <w:t>。</w:t>
      </w:r>
    </w:p>
    <w:p>
      <w:pPr>
        <w:autoSpaceDE w:val="0"/>
        <w:autoSpaceDN w:val="0"/>
        <w:adjustRightInd w:val="0"/>
        <w:ind w:firstLine="643" w:firstLineChars="200"/>
        <w:jc w:val="both"/>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7</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社会保障和就业支出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其他社会保障和就业支出</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其他社会保障和就业支出</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0.9</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0.27</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30</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_GB2312" w:hAnsi="Times New Roman" w:eastAsia="仿宋_GB2312" w:cs="黑体"/>
          <w:sz w:val="32"/>
          <w:szCs w:val="32"/>
          <w:highlight w:val="none"/>
          <w:lang w:eastAsia="zh-CN"/>
        </w:rPr>
        <w:t>人员变动，以实际参保人员结算</w:t>
      </w:r>
      <w:r>
        <w:rPr>
          <w:rFonts w:ascii="仿宋_GB2312" w:hAnsi="Times New Roman" w:eastAsia="仿宋_GB2312" w:cs="黑体"/>
          <w:sz w:val="32"/>
          <w:szCs w:val="32"/>
          <w:highlight w:val="none"/>
        </w:rPr>
        <w:t>。</w:t>
      </w:r>
    </w:p>
    <w:p>
      <w:pPr>
        <w:autoSpaceDE w:val="0"/>
        <w:autoSpaceDN w:val="0"/>
        <w:adjustRightInd w:val="0"/>
        <w:ind w:firstLine="643" w:firstLineChars="200"/>
        <w:jc w:val="both"/>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8</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医疗卫生与计划生育支出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行政事业单位医疗</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行政单位医疗</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6.1</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5.72</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95.33</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_GB2312" w:hAnsi="Times New Roman" w:eastAsia="仿宋_GB2312" w:cs="黑体"/>
          <w:sz w:val="32"/>
          <w:szCs w:val="32"/>
          <w:highlight w:val="none"/>
          <w:lang w:eastAsia="zh-CN"/>
        </w:rPr>
        <w:t>人员变动，以实际参保人员结算</w:t>
      </w:r>
      <w:r>
        <w:rPr>
          <w:rFonts w:ascii="仿宋_GB2312" w:hAnsi="Times New Roman" w:eastAsia="仿宋_GB2312" w:cs="黑体"/>
          <w:sz w:val="32"/>
          <w:szCs w:val="32"/>
          <w:highlight w:val="none"/>
        </w:rPr>
        <w:t>。</w:t>
      </w:r>
    </w:p>
    <w:p>
      <w:pPr>
        <w:autoSpaceDE w:val="0"/>
        <w:autoSpaceDN w:val="0"/>
        <w:adjustRightInd w:val="0"/>
        <w:ind w:firstLine="643" w:firstLineChars="200"/>
        <w:jc w:val="both"/>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9</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医疗卫生与计划生育支出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行政事业单位医疗</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公务员医疗补助</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5.08</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5.02</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98.82</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_GB2312" w:hAnsi="Times New Roman" w:eastAsia="仿宋_GB2312" w:cs="黑体"/>
          <w:sz w:val="32"/>
          <w:szCs w:val="32"/>
          <w:highlight w:val="none"/>
          <w:lang w:eastAsia="zh-CN"/>
        </w:rPr>
        <w:t>人员变动，以实际参保人员结算</w:t>
      </w:r>
      <w:r>
        <w:rPr>
          <w:rFonts w:ascii="仿宋_GB2312" w:hAnsi="Times New Roman" w:eastAsia="仿宋_GB2312" w:cs="黑体"/>
          <w:sz w:val="32"/>
          <w:szCs w:val="32"/>
          <w:highlight w:val="none"/>
        </w:rPr>
        <w:t>。</w:t>
      </w:r>
    </w:p>
    <w:p>
      <w:pPr>
        <w:autoSpaceDE w:val="0"/>
        <w:autoSpaceDN w:val="0"/>
        <w:adjustRightInd w:val="0"/>
        <w:ind w:firstLine="643" w:firstLineChars="200"/>
        <w:jc w:val="both"/>
        <w:rPr>
          <w:rFonts w:ascii="仿宋_GB2312" w:hAnsi="Times New Roman" w:eastAsia="仿宋_GB2312" w:cs="黑体"/>
          <w:sz w:val="32"/>
          <w:szCs w:val="32"/>
          <w:highlight w:val="none"/>
        </w:rPr>
      </w:pPr>
      <w:r>
        <w:rPr>
          <w:rFonts w:hint="eastAsia" w:ascii="仿宋_GB2312" w:hAnsi="Times New Roman" w:eastAsia="仿宋_GB2312" w:cs="黑体"/>
          <w:b/>
          <w:bCs/>
          <w:sz w:val="32"/>
          <w:szCs w:val="32"/>
          <w:lang w:val="en-US" w:eastAsia="zh-CN"/>
        </w:rPr>
        <w:t>10</w:t>
      </w:r>
      <w:r>
        <w:rPr>
          <w:rFonts w:ascii="仿宋_GB2312" w:hAnsi="Times New Roman" w:eastAsia="仿宋_GB2312" w:cs="黑体"/>
          <w:b/>
          <w:bCs/>
          <w:sz w:val="32"/>
          <w:szCs w:val="32"/>
        </w:rPr>
        <w:t>．</w:t>
      </w:r>
      <w:r>
        <w:rPr>
          <w:rFonts w:hint="eastAsia" w:ascii="仿宋_GB2312" w:hAnsi="Times New Roman" w:eastAsia="仿宋_GB2312" w:cs="黑体"/>
          <w:b/>
          <w:bCs/>
          <w:sz w:val="32"/>
          <w:szCs w:val="32"/>
        </w:rPr>
        <w:t>住房保障支出</w:t>
      </w:r>
      <w:r>
        <w:rPr>
          <w:rFonts w:ascii="仿宋_GB2312" w:hAnsi="Times New Roman" w:eastAsia="仿宋_GB2312" w:cs="黑体"/>
          <w:b/>
          <w:bCs/>
          <w:sz w:val="32"/>
          <w:szCs w:val="32"/>
        </w:rPr>
        <w:t>（类）</w:t>
      </w:r>
      <w:r>
        <w:rPr>
          <w:rFonts w:hint="eastAsia" w:ascii="仿宋_GB2312" w:hAnsi="Times New Roman" w:eastAsia="仿宋_GB2312" w:cs="黑体"/>
          <w:b/>
          <w:bCs/>
          <w:sz w:val="32"/>
          <w:szCs w:val="32"/>
        </w:rPr>
        <w:t>住房改革支出</w:t>
      </w:r>
      <w:r>
        <w:rPr>
          <w:rFonts w:ascii="仿宋_GB2312" w:hAnsi="Times New Roman" w:eastAsia="仿宋_GB2312" w:cs="黑体"/>
          <w:b/>
          <w:bCs/>
          <w:sz w:val="32"/>
          <w:szCs w:val="32"/>
        </w:rPr>
        <w:t>（款）</w:t>
      </w:r>
      <w:r>
        <w:rPr>
          <w:rFonts w:hint="eastAsia" w:ascii="仿宋_GB2312" w:hAnsi="Times New Roman" w:eastAsia="仿宋_GB2312" w:cs="黑体"/>
          <w:b/>
          <w:bCs/>
          <w:sz w:val="32"/>
          <w:szCs w:val="32"/>
        </w:rPr>
        <w:t>住房公积金</w:t>
      </w:r>
      <w:r>
        <w:rPr>
          <w:rFonts w:ascii="仿宋_GB2312" w:hAnsi="Times New Roman" w:eastAsia="仿宋_GB2312" w:cs="黑体"/>
          <w:b/>
          <w:bCs/>
          <w:sz w:val="32"/>
          <w:szCs w:val="32"/>
        </w:rPr>
        <w:t>（项）。</w:t>
      </w:r>
      <w:r>
        <w:rPr>
          <w:rFonts w:ascii="仿宋_GB2312" w:hAnsi="Times New Roman" w:eastAsia="仿宋_GB2312" w:cs="黑体"/>
          <w:sz w:val="32"/>
          <w:szCs w:val="32"/>
        </w:rPr>
        <w:t>年初预算为</w:t>
      </w:r>
      <w:r>
        <w:rPr>
          <w:rFonts w:hint="eastAsia" w:ascii="仿宋_GB2312" w:hAnsi="Times New Roman" w:eastAsia="仿宋_GB2312" w:cs="黑体"/>
          <w:sz w:val="32"/>
          <w:szCs w:val="32"/>
          <w:lang w:eastAsia="zh-CN"/>
        </w:rPr>
        <w:t>10.69</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rPr>
        <w:t>10.69</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10</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w:t>
      </w:r>
      <w:r>
        <w:rPr>
          <w:rFonts w:hint="eastAsia" w:ascii="仿宋_GB2312" w:hAnsi="Times New Roman" w:eastAsia="仿宋_GB2312" w:cs="黑体"/>
          <w:sz w:val="32"/>
          <w:szCs w:val="32"/>
          <w:highlight w:val="none"/>
          <w:lang w:eastAsia="zh-CN"/>
        </w:rPr>
        <w:t>一致</w:t>
      </w:r>
      <w:r>
        <w:rPr>
          <w:rFonts w:ascii="仿宋_GB2312" w:hAnsi="Times New Roman" w:eastAsia="仿宋_GB2312" w:cs="黑体"/>
          <w:sz w:val="32"/>
          <w:szCs w:val="32"/>
          <w:highlight w:val="none"/>
        </w:rPr>
        <w:t>的主要原因是</w:t>
      </w:r>
      <w:r>
        <w:rPr>
          <w:rFonts w:hint="eastAsia" w:ascii="仿宋_GB2312" w:hAnsi="Times New Roman" w:eastAsia="仿宋_GB2312" w:cs="黑体"/>
          <w:sz w:val="32"/>
          <w:szCs w:val="32"/>
          <w:highlight w:val="none"/>
          <w:lang w:eastAsia="zh-CN"/>
        </w:rPr>
        <w:t>人员缴费无变化。</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六、一般公共预算财政拨款基本支出决算情况说明</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 年度一般公共预算财政拨款基本支出</w:t>
      </w:r>
      <w:r>
        <w:rPr>
          <w:rFonts w:hint="eastAsia" w:ascii="宋体" w:hAnsi="宋体"/>
          <w:sz w:val="32"/>
          <w:szCs w:val="32"/>
          <w:lang w:val="zh-CN"/>
        </w:rPr>
        <w:t>247.49</w:t>
      </w:r>
      <w:r>
        <w:rPr>
          <w:rFonts w:ascii="仿宋_GB2312" w:hAnsi="Times New Roman" w:eastAsia="仿宋_GB2312" w:cs="黑体"/>
          <w:sz w:val="32"/>
          <w:szCs w:val="32"/>
        </w:rPr>
        <w:t>万元。其中：人员经费</w:t>
      </w:r>
      <w:r>
        <w:rPr>
          <w:rFonts w:hint="eastAsia" w:ascii="宋体" w:hAnsi="宋体"/>
          <w:sz w:val="32"/>
          <w:szCs w:val="32"/>
          <w:lang w:val="zh-CN"/>
        </w:rPr>
        <w:t>236.94</w:t>
      </w:r>
      <w:r>
        <w:rPr>
          <w:rFonts w:ascii="仿宋_GB2312" w:hAnsi="Times New Roman" w:eastAsia="仿宋_GB2312" w:cs="黑体"/>
          <w:sz w:val="32"/>
          <w:szCs w:val="32"/>
        </w:rPr>
        <w:t>万元，主要包括：基本工资、津贴补贴、</w:t>
      </w:r>
      <w:r>
        <w:rPr>
          <w:rFonts w:hint="eastAsia" w:ascii="仿宋_GB2312" w:hAnsi="Times New Roman" w:eastAsia="仿宋_GB2312" w:cs="黑体"/>
          <w:sz w:val="32"/>
          <w:szCs w:val="32"/>
        </w:rPr>
        <w:t>奖金</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机关事业单位基本养老保险缴费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职业年金缴费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职工基本医疗保险缴费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公务员医疗补助缴费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其他社会保障缴费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住房公积金</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其他工资福利支出</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退休费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生活补助</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其他对个人和家庭的补助支出</w:t>
      </w:r>
      <w:r>
        <w:rPr>
          <w:rFonts w:ascii="仿宋_GB2312" w:hAnsi="Times New Roman" w:eastAsia="仿宋_GB2312" w:cs="黑体"/>
          <w:sz w:val="32"/>
          <w:szCs w:val="32"/>
        </w:rPr>
        <w:t xml:space="preserve">；公用经费 </w:t>
      </w:r>
      <w:r>
        <w:rPr>
          <w:rFonts w:hint="eastAsia" w:ascii="宋体" w:hAnsi="宋体"/>
          <w:sz w:val="32"/>
          <w:szCs w:val="32"/>
          <w:lang w:val="zh-CN"/>
        </w:rPr>
        <w:t>10.5</w:t>
      </w:r>
      <w:r>
        <w:rPr>
          <w:rFonts w:hint="eastAsia" w:ascii="宋体" w:hAnsi="宋体"/>
          <w:sz w:val="32"/>
          <w:szCs w:val="32"/>
          <w:lang w:val="en-US" w:eastAsia="zh-CN"/>
        </w:rPr>
        <w:t>5</w:t>
      </w:r>
      <w:r>
        <w:rPr>
          <w:rFonts w:ascii="仿宋_GB2312" w:hAnsi="Times New Roman" w:eastAsia="仿宋_GB2312" w:cs="黑体"/>
          <w:sz w:val="32"/>
          <w:szCs w:val="32"/>
        </w:rPr>
        <w:t>万元，主要包括：办公费、</w:t>
      </w:r>
      <w:r>
        <w:rPr>
          <w:rFonts w:hint="eastAsia" w:ascii="仿宋_GB2312" w:hAnsi="Times New Roman" w:eastAsia="仿宋_GB2312" w:cs="黑体"/>
          <w:sz w:val="32"/>
          <w:szCs w:val="32"/>
        </w:rPr>
        <w:t>咨询费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邮电费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差旅费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维修（护）费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劳务费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工会经费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福利费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公务用车运行维护费</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其他交通费用</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其他商品和服务支出</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办公设备购置</w:t>
      </w:r>
      <w:r>
        <w:rPr>
          <w:rFonts w:ascii="仿宋_GB2312" w:hAnsi="Times New Roman" w:eastAsia="仿宋_GB2312" w:cs="黑体"/>
          <w:sz w:val="32"/>
          <w:szCs w:val="32"/>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七、一般公共预算财政拨款“三公”经费支出决算情况说明</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（一）“三公”经费财政拨款支出决算总体情况说明。</w:t>
      </w:r>
    </w:p>
    <w:p>
      <w:pPr>
        <w:autoSpaceDE w:val="0"/>
        <w:autoSpaceDN w:val="0"/>
        <w:adjustRightInd w:val="0"/>
        <w:ind w:firstLine="640" w:firstLineChars="200"/>
        <w:jc w:val="both"/>
        <w:rPr>
          <w:rFonts w:ascii="仿宋_GB2312" w:hAnsi="Times New Roman" w:eastAsia="仿宋_GB2312" w:cs="黑体"/>
          <w:sz w:val="32"/>
          <w:szCs w:val="32"/>
          <w:highlight w:val="none"/>
        </w:rPr>
      </w:pPr>
      <w:r>
        <w:rPr>
          <w:rFonts w:ascii="仿宋_GB2312" w:hAnsi="Times New Roman" w:eastAsia="仿宋_GB2312" w:cs="黑体"/>
          <w:sz w:val="32"/>
          <w:szCs w:val="32"/>
        </w:rPr>
        <w:t>2018年度“三公”经费财政拨款支出预算为</w:t>
      </w:r>
      <w:r>
        <w:rPr>
          <w:rFonts w:hint="eastAsia" w:ascii="宋体" w:hAnsi="宋体"/>
          <w:sz w:val="32"/>
          <w:szCs w:val="32"/>
          <w:lang w:val="zh-CN"/>
        </w:rPr>
        <w:t>3</w:t>
      </w:r>
      <w:r>
        <w:rPr>
          <w:rFonts w:ascii="仿宋_GB2312" w:hAnsi="Times New Roman" w:eastAsia="仿宋_GB2312" w:cs="黑体"/>
          <w:sz w:val="32"/>
          <w:szCs w:val="32"/>
        </w:rPr>
        <w:t>万元，支出决算为</w:t>
      </w:r>
      <w:r>
        <w:rPr>
          <w:rFonts w:hint="eastAsia" w:ascii="宋体" w:hAnsi="宋体"/>
          <w:sz w:val="32"/>
          <w:szCs w:val="32"/>
          <w:lang w:val="zh-CN"/>
        </w:rPr>
        <w:t>2.31</w:t>
      </w:r>
      <w:r>
        <w:rPr>
          <w:rFonts w:ascii="仿宋_GB2312" w:hAnsi="Times New Roman" w:eastAsia="仿宋_GB2312" w:cs="黑体"/>
          <w:sz w:val="32"/>
          <w:szCs w:val="32"/>
        </w:rPr>
        <w:t>万元，完成预算的</w:t>
      </w:r>
      <w:r>
        <w:rPr>
          <w:rFonts w:hint="eastAsia" w:ascii="宋体" w:hAnsi="宋体"/>
          <w:sz w:val="32"/>
          <w:szCs w:val="32"/>
          <w:lang w:val="zh-CN"/>
        </w:rPr>
        <w:t>77.08</w:t>
      </w:r>
      <w:r>
        <w:rPr>
          <w:rFonts w:ascii="仿宋_GB2312" w:hAnsi="Times New Roman" w:eastAsia="仿宋_GB2312" w:cs="黑体"/>
          <w:sz w:val="32"/>
          <w:szCs w:val="32"/>
        </w:rPr>
        <w:t>%。</w:t>
      </w:r>
      <w:r>
        <w:rPr>
          <w:rFonts w:ascii="仿宋_GB2312" w:hAnsi="Times New Roman" w:eastAsia="仿宋_GB2312" w:cs="黑体"/>
          <w:sz w:val="32"/>
          <w:szCs w:val="32"/>
          <w:highlight w:val="none"/>
        </w:rPr>
        <w:t>2018年度“三公”经费支出决算数与预算数存在差异的主要原因是</w:t>
      </w:r>
      <w:r>
        <w:rPr>
          <w:rFonts w:hint="eastAsia" w:ascii="仿宋_GB2312" w:hAnsi="Times New Roman" w:eastAsia="仿宋_GB2312" w:cs="黑体"/>
          <w:sz w:val="32"/>
          <w:szCs w:val="32"/>
          <w:highlight w:val="none"/>
          <w:lang w:eastAsia="zh-CN"/>
        </w:rPr>
        <w:t>严格执行中央八项规定，严格审批程序，从严控制“三公”经费支出预算</w:t>
      </w:r>
      <w:r>
        <w:rPr>
          <w:rFonts w:ascii="仿宋_GB2312" w:hAnsi="Times New Roman" w:eastAsia="仿宋_GB2312" w:cs="黑体"/>
          <w:sz w:val="32"/>
          <w:szCs w:val="32"/>
          <w:highlight w:val="none"/>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（二）“三公”经费财政拨款支出决算具体情况说明。</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 xml:space="preserve">2018 年度“三公”经费财政拨款支出决算中，因公出国（境）费支出决算0.00万元，完成预算的0.00%，占0.00%；公务用车购置及运行费支出决算 </w:t>
      </w:r>
      <w:r>
        <w:rPr>
          <w:rFonts w:hint="eastAsia" w:ascii="宋体" w:hAnsi="宋体"/>
          <w:sz w:val="32"/>
          <w:szCs w:val="32"/>
          <w:lang w:val="zh-CN"/>
        </w:rPr>
        <w:t>2.31</w:t>
      </w:r>
      <w:r>
        <w:rPr>
          <w:rFonts w:ascii="仿宋_GB2312" w:hAnsi="Times New Roman" w:eastAsia="仿宋_GB2312" w:cs="黑体"/>
          <w:sz w:val="32"/>
          <w:szCs w:val="32"/>
        </w:rPr>
        <w:t>万元，完成预算的</w:t>
      </w:r>
      <w:r>
        <w:rPr>
          <w:rFonts w:hint="eastAsia" w:ascii="宋体" w:hAnsi="宋体"/>
          <w:sz w:val="32"/>
          <w:szCs w:val="32"/>
          <w:lang w:val="zh-CN"/>
        </w:rPr>
        <w:t>77.08</w:t>
      </w:r>
      <w:r>
        <w:rPr>
          <w:rFonts w:ascii="仿宋_GB2312" w:hAnsi="Times New Roman" w:eastAsia="仿宋_GB2312" w:cs="黑体"/>
          <w:sz w:val="32"/>
          <w:szCs w:val="32"/>
        </w:rPr>
        <w:t>%，占</w:t>
      </w:r>
      <w:r>
        <w:rPr>
          <w:rFonts w:hint="eastAsia" w:ascii="宋体" w:hAnsi="宋体"/>
          <w:sz w:val="32"/>
          <w:szCs w:val="32"/>
          <w:lang w:val="zh-CN"/>
        </w:rPr>
        <w:t>100</w:t>
      </w:r>
      <w:r>
        <w:rPr>
          <w:rFonts w:ascii="仿宋_GB2312" w:hAnsi="Times New Roman" w:eastAsia="仿宋_GB2312" w:cs="黑体"/>
          <w:sz w:val="32"/>
          <w:szCs w:val="32"/>
        </w:rPr>
        <w:t>%；公务接待费支出决算0.00万元，完成预算的0.00%，占0.00%。具体情况如下：</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1．因公出国（境）费年初预算为0.00万元，支出决算为0.00万元，完成年初预算的 0.00%。全年因公出国（境）团组 0个，累计0人次。</w:t>
      </w:r>
    </w:p>
    <w:p>
      <w:pPr>
        <w:autoSpaceDE w:val="0"/>
        <w:autoSpaceDN w:val="0"/>
        <w:adjustRightInd w:val="0"/>
        <w:ind w:firstLine="640" w:firstLineChars="200"/>
        <w:jc w:val="both"/>
        <w:rPr>
          <w:rFonts w:ascii="仿宋_GB2312" w:hAnsi="Times New Roman" w:eastAsia="仿宋_GB2312" w:cs="黑体"/>
          <w:sz w:val="32"/>
          <w:szCs w:val="32"/>
          <w:highlight w:val="none"/>
        </w:rPr>
      </w:pPr>
      <w:r>
        <w:rPr>
          <w:rFonts w:ascii="仿宋_GB2312" w:hAnsi="Times New Roman" w:eastAsia="仿宋_GB2312" w:cs="黑体"/>
          <w:sz w:val="32"/>
          <w:szCs w:val="32"/>
        </w:rPr>
        <w:t>2．公务用车购置及运行费年初预算为</w:t>
      </w:r>
      <w:r>
        <w:rPr>
          <w:rFonts w:hint="eastAsia" w:ascii="宋体" w:hAnsi="宋体"/>
          <w:sz w:val="32"/>
          <w:szCs w:val="32"/>
          <w:lang w:val="zh-CN"/>
        </w:rPr>
        <w:t>3</w:t>
      </w:r>
      <w:r>
        <w:rPr>
          <w:rFonts w:ascii="仿宋_GB2312" w:hAnsi="Times New Roman" w:eastAsia="仿宋_GB2312" w:cs="黑体"/>
          <w:sz w:val="32"/>
          <w:szCs w:val="32"/>
        </w:rPr>
        <w:t>万元，支出决算为</w:t>
      </w:r>
      <w:r>
        <w:rPr>
          <w:rFonts w:hint="eastAsia" w:ascii="宋体" w:hAnsi="宋体"/>
          <w:sz w:val="32"/>
          <w:szCs w:val="32"/>
          <w:lang w:val="zh-CN"/>
        </w:rPr>
        <w:t>2.31</w:t>
      </w:r>
      <w:r>
        <w:rPr>
          <w:rFonts w:ascii="仿宋_GB2312" w:hAnsi="Times New Roman" w:eastAsia="仿宋_GB2312" w:cs="黑体"/>
          <w:sz w:val="32"/>
          <w:szCs w:val="32"/>
        </w:rPr>
        <w:t>万元，完成年初预算 的</w:t>
      </w:r>
      <w:r>
        <w:rPr>
          <w:rFonts w:hint="eastAsia" w:ascii="宋体" w:hAnsi="宋体"/>
          <w:sz w:val="32"/>
          <w:szCs w:val="32"/>
          <w:lang w:val="zh-CN"/>
        </w:rPr>
        <w:t>77.08</w:t>
      </w:r>
      <w:r>
        <w:rPr>
          <w:rFonts w:ascii="仿宋_GB2312" w:hAnsi="Times New Roman" w:eastAsia="仿宋_GB2312" w:cs="黑体"/>
          <w:sz w:val="32"/>
          <w:szCs w:val="32"/>
        </w:rPr>
        <w:t>%。</w:t>
      </w:r>
      <w:r>
        <w:rPr>
          <w:rFonts w:ascii="仿宋_GB2312" w:hAnsi="Times New Roman" w:eastAsia="仿宋_GB2312" w:cs="黑体"/>
          <w:sz w:val="32"/>
          <w:szCs w:val="32"/>
          <w:highlight w:val="none"/>
        </w:rPr>
        <w:t>决算数与年初预算数存在差异的主要原因是</w:t>
      </w:r>
      <w:r>
        <w:rPr>
          <w:rFonts w:hint="eastAsia" w:ascii="仿宋" w:hAnsi="仿宋" w:eastAsia="仿宋" w:cs="仿宋"/>
          <w:sz w:val="32"/>
          <w:szCs w:val="32"/>
          <w:highlight w:val="none"/>
        </w:rPr>
        <w:t>严格公务用车管理</w:t>
      </w:r>
      <w:r>
        <w:rPr>
          <w:rFonts w:ascii="仿宋_GB2312" w:hAnsi="Times New Roman" w:eastAsia="仿宋_GB2312" w:cs="黑体"/>
          <w:sz w:val="32"/>
          <w:szCs w:val="32"/>
          <w:highlight w:val="none"/>
        </w:rPr>
        <w:t>。其中：</w:t>
      </w:r>
    </w:p>
    <w:p>
      <w:pPr>
        <w:autoSpaceDE w:val="0"/>
        <w:autoSpaceDN w:val="0"/>
        <w:adjustRightInd w:val="0"/>
        <w:ind w:firstLine="640" w:firstLineChars="200"/>
        <w:jc w:val="both"/>
        <w:rPr>
          <w:rFonts w:hint="eastAsia" w:ascii="仿宋_GB2312" w:hAnsi="Times New Roman" w:eastAsia="仿宋_GB2312" w:cs="黑体"/>
          <w:sz w:val="32"/>
          <w:szCs w:val="32"/>
          <w:lang w:val="en-US" w:eastAsia="zh-CN"/>
        </w:rPr>
      </w:pPr>
      <w:r>
        <w:rPr>
          <w:rFonts w:ascii="仿宋_GB2312" w:hAnsi="Times New Roman" w:eastAsia="仿宋_GB2312" w:cs="黑体"/>
          <w:sz w:val="32"/>
          <w:szCs w:val="32"/>
        </w:rPr>
        <w:t>公务用车购置支出为0.00万元，购置车辆</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辆</w:t>
      </w:r>
      <w:r>
        <w:rPr>
          <w:rFonts w:hint="eastAsia" w:ascii="仿宋_GB2312" w:hAnsi="Times New Roman" w:eastAsia="仿宋_GB2312" w:cs="黑体"/>
          <w:sz w:val="32"/>
          <w:szCs w:val="32"/>
          <w:lang w:val="en-US" w:eastAsia="zh-CN"/>
        </w:rPr>
        <w:t>。</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公务用车运行支出</w:t>
      </w:r>
      <w:r>
        <w:rPr>
          <w:rFonts w:hint="eastAsia" w:ascii="宋体" w:hAnsi="宋体"/>
          <w:sz w:val="32"/>
          <w:szCs w:val="32"/>
          <w:lang w:val="zh-CN"/>
        </w:rPr>
        <w:t>2.31</w:t>
      </w:r>
      <w:r>
        <w:rPr>
          <w:rFonts w:ascii="仿宋_GB2312" w:hAnsi="Times New Roman" w:eastAsia="仿宋_GB2312" w:cs="黑体"/>
          <w:sz w:val="32"/>
          <w:szCs w:val="32"/>
        </w:rPr>
        <w:t>万元。</w:t>
      </w:r>
      <w:r>
        <w:rPr>
          <w:rFonts w:ascii="仿宋_GB2312" w:hAnsi="Times New Roman" w:eastAsia="仿宋_GB2312" w:cs="黑体"/>
          <w:sz w:val="32"/>
          <w:szCs w:val="32"/>
          <w:highlight w:val="none"/>
        </w:rPr>
        <w:t>主要用于</w:t>
      </w:r>
      <w:r>
        <w:rPr>
          <w:rFonts w:hint="eastAsia" w:ascii="仿宋" w:hAnsi="仿宋" w:eastAsia="仿宋" w:cs="仿宋"/>
          <w:sz w:val="32"/>
          <w:szCs w:val="32"/>
          <w:highlight w:val="none"/>
        </w:rPr>
        <w:t>车辆加油、过路（桥）费、车辆保险、日常保养维修等费用</w:t>
      </w:r>
      <w:r>
        <w:rPr>
          <w:rFonts w:ascii="仿宋_GB2312" w:hAnsi="Times New Roman" w:eastAsia="仿宋_GB2312" w:cs="黑体"/>
          <w:sz w:val="32"/>
          <w:szCs w:val="32"/>
          <w:highlight w:val="none"/>
        </w:rPr>
        <w:t>。2018年期</w:t>
      </w:r>
      <w:r>
        <w:rPr>
          <w:rFonts w:ascii="仿宋_GB2312" w:hAnsi="Times New Roman" w:eastAsia="仿宋_GB2312" w:cs="黑体"/>
          <w:sz w:val="32"/>
          <w:szCs w:val="32"/>
        </w:rPr>
        <w:t>末，部门开支财政拨款的公务用车保有量为</w:t>
      </w:r>
      <w:r>
        <w:rPr>
          <w:rFonts w:hint="eastAsia" w:ascii="仿宋_GB2312" w:hAnsi="Times New Roman" w:eastAsia="仿宋_GB2312" w:cs="黑体"/>
          <w:sz w:val="32"/>
          <w:szCs w:val="32"/>
          <w:lang w:val="en-US" w:eastAsia="zh-CN"/>
        </w:rPr>
        <w:t>1</w:t>
      </w:r>
      <w:r>
        <w:rPr>
          <w:rFonts w:ascii="仿宋_GB2312" w:hAnsi="Times New Roman" w:eastAsia="仿宋_GB2312" w:cs="黑体"/>
          <w:sz w:val="32"/>
          <w:szCs w:val="32"/>
        </w:rPr>
        <w:t>辆。</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3.公务接待费年初预算为0.00万元，支出决算为0.00万元，完成年初预算的0.00%。其中：</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外宾接待支出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万元。2018年共接待国（境）外来访团组</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个、来访外宾</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人次（不包括陪同人员）。</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其他国内公务接待支出</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万元。2018年共接待国内来访团组</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个、来宾</w:t>
      </w:r>
      <w:r>
        <w:rPr>
          <w:rFonts w:hint="eastAsia" w:ascii="仿宋_GB2312" w:hAnsi="Times New Roman" w:eastAsia="仿宋_GB2312" w:cs="黑体"/>
          <w:sz w:val="32"/>
          <w:szCs w:val="32"/>
          <w:lang w:val="en-US" w:eastAsia="zh-CN"/>
        </w:rPr>
        <w:t>0</w:t>
      </w:r>
      <w:r>
        <w:rPr>
          <w:rFonts w:ascii="仿宋_GB2312" w:hAnsi="Times New Roman" w:eastAsia="仿宋_GB2312" w:cs="黑体"/>
          <w:sz w:val="32"/>
          <w:szCs w:val="32"/>
        </w:rPr>
        <w:t>人次（不包括陪同人员）。</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八、预算绩效情况说明</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（一）绩效管理工作开展情况。</w:t>
      </w:r>
    </w:p>
    <w:p>
      <w:pPr>
        <w:ind w:firstLine="640" w:firstLineChars="200"/>
        <w:jc w:val="both"/>
        <w:rPr>
          <w:rFonts w:ascii="仿宋_GB2312" w:hAnsi="楷体_GB2312" w:eastAsia="仿宋_GB2312" w:cs="楷体_GB2312"/>
          <w:sz w:val="32"/>
          <w:szCs w:val="32"/>
        </w:rPr>
      </w:pPr>
      <w:r>
        <w:rPr>
          <w:rFonts w:hint="eastAsia" w:ascii="仿宋_GB2312" w:hAnsi="楷体_GB2312" w:eastAsia="仿宋_GB2312" w:cs="楷体_GB2312"/>
          <w:sz w:val="32"/>
          <w:szCs w:val="32"/>
        </w:rPr>
        <w:t>2018年，</w:t>
      </w:r>
      <w:r>
        <w:rPr>
          <w:rFonts w:hint="eastAsia" w:ascii="仿宋" w:hAnsi="仿宋" w:eastAsia="仿宋" w:cs="仿宋"/>
          <w:sz w:val="32"/>
          <w:szCs w:val="32"/>
          <w:lang w:eastAsia="zh-CN"/>
        </w:rPr>
        <w:t>市工商联</w:t>
      </w:r>
      <w:r>
        <w:rPr>
          <w:rFonts w:hint="eastAsia" w:ascii="仿宋" w:hAnsi="仿宋" w:eastAsia="仿宋" w:cs="仿宋"/>
          <w:sz w:val="32"/>
          <w:szCs w:val="32"/>
        </w:rPr>
        <w:t>严格按照市财政局《漯河市财政局关于印发&lt;漯河市财政支出绩效评价管理办法&gt;的通知》（漯财预﹝2018﹞53 号）</w:t>
      </w:r>
      <w:r>
        <w:rPr>
          <w:rFonts w:hint="eastAsia" w:ascii="仿宋" w:hAnsi="仿宋" w:eastAsia="仿宋" w:cs="仿宋"/>
          <w:sz w:val="32"/>
          <w:szCs w:val="32"/>
          <w:lang w:eastAsia="zh-CN"/>
        </w:rPr>
        <w:t>，</w:t>
      </w:r>
      <w:r>
        <w:rPr>
          <w:rFonts w:hint="eastAsia" w:ascii="仿宋" w:hAnsi="仿宋" w:eastAsia="仿宋" w:cs="仿宋"/>
          <w:sz w:val="32"/>
          <w:szCs w:val="32"/>
        </w:rPr>
        <w:t>对已下达计划的专项资金向市财政局报送专项资金使用计划及财政支出绩效目标申报表。</w:t>
      </w:r>
      <w:r>
        <w:rPr>
          <w:rFonts w:hint="eastAsia" w:ascii="仿宋" w:hAnsi="仿宋" w:eastAsia="仿宋" w:cs="仿宋"/>
          <w:sz w:val="32"/>
          <w:szCs w:val="32"/>
          <w:lang w:eastAsia="zh-CN"/>
        </w:rPr>
        <w:t>市工商联</w:t>
      </w:r>
      <w:r>
        <w:rPr>
          <w:rFonts w:hint="eastAsia" w:ascii="仿宋" w:hAnsi="仿宋" w:eastAsia="仿宋" w:cs="仿宋"/>
          <w:sz w:val="32"/>
          <w:szCs w:val="32"/>
        </w:rPr>
        <w:t>主要从项目基本情况、资金使用预算、资金使用效益、绩效目标、保障措施等方面向市财政局报备资金使用计划；主要从从数量指标、质量指标、时效指标、成本指标、经济效益指标、社会效益指标、环境效益指标、可持续发展指标及服务对象满意度等指标向市财政局</w:t>
      </w:r>
      <w:r>
        <w:rPr>
          <w:rFonts w:hint="eastAsia" w:ascii="仿宋" w:hAnsi="仿宋" w:eastAsia="仿宋" w:cs="仿宋"/>
          <w:sz w:val="32"/>
          <w:szCs w:val="32"/>
          <w:lang w:eastAsia="zh-CN"/>
        </w:rPr>
        <w:t>申报。</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（二）项目绩效自评结果。</w:t>
      </w:r>
    </w:p>
    <w:p>
      <w:pPr>
        <w:widowControl/>
        <w:spacing w:line="590" w:lineRule="exact"/>
        <w:ind w:firstLine="640" w:firstLineChars="200"/>
        <w:jc w:val="both"/>
        <w:rPr>
          <w:rFonts w:hint="eastAsia" w:ascii="仿宋_GB2312" w:hAnsi="楷体_GB2312" w:eastAsia="仿宋_GB2312" w:cs="楷体_GB2312"/>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2018</w:t>
      </w:r>
      <w:r>
        <w:rPr>
          <w:rFonts w:hint="eastAsia" w:ascii="仿宋" w:hAnsi="仿宋" w:eastAsia="仿宋" w:cs="仿宋"/>
          <w:sz w:val="32"/>
          <w:szCs w:val="32"/>
        </w:rPr>
        <w:t>年度部门决算中</w:t>
      </w:r>
      <w:r>
        <w:rPr>
          <w:rFonts w:hint="eastAsia" w:ascii="仿宋" w:hAnsi="仿宋" w:eastAsia="仿宋" w:cs="仿宋"/>
          <w:sz w:val="32"/>
          <w:szCs w:val="32"/>
          <w:lang w:eastAsia="zh-CN"/>
        </w:rPr>
        <w:t>，</w:t>
      </w:r>
      <w:r>
        <w:rPr>
          <w:rFonts w:hint="eastAsia" w:ascii="仿宋" w:hAnsi="仿宋" w:eastAsia="仿宋" w:cs="仿宋"/>
          <w:sz w:val="32"/>
          <w:szCs w:val="32"/>
        </w:rPr>
        <w:t xml:space="preserve"> 根据2018年初设定的绩效目标，</w:t>
      </w:r>
      <w:r>
        <w:rPr>
          <w:rFonts w:hint="eastAsia" w:ascii="仿宋" w:hAnsi="仿宋" w:eastAsia="仿宋" w:cs="Times New Roman"/>
          <w:b w:val="0"/>
          <w:bCs w:val="0"/>
          <w:sz w:val="32"/>
          <w:szCs w:val="32"/>
        </w:rPr>
        <w:t>各项活动</w:t>
      </w:r>
      <w:r>
        <w:rPr>
          <w:rFonts w:hint="eastAsia" w:ascii="仿宋" w:hAnsi="仿宋" w:eastAsia="仿宋" w:cs="Times New Roman"/>
          <w:b w:val="0"/>
          <w:bCs w:val="0"/>
          <w:sz w:val="32"/>
          <w:szCs w:val="32"/>
          <w:lang w:eastAsia="zh-CN"/>
        </w:rPr>
        <w:t>、</w:t>
      </w:r>
      <w:r>
        <w:rPr>
          <w:rFonts w:hint="eastAsia" w:ascii="仿宋" w:hAnsi="仿宋" w:eastAsia="仿宋" w:cs="Times New Roman"/>
          <w:b w:val="0"/>
          <w:bCs w:val="0"/>
          <w:sz w:val="32"/>
          <w:szCs w:val="32"/>
        </w:rPr>
        <w:t>同心建功活动</w:t>
      </w:r>
      <w:r>
        <w:rPr>
          <w:rFonts w:hint="eastAsia" w:ascii="仿宋" w:hAnsi="仿宋" w:eastAsia="仿宋" w:cs="Times New Roman"/>
          <w:b w:val="0"/>
          <w:bCs w:val="0"/>
          <w:sz w:val="32"/>
          <w:szCs w:val="32"/>
          <w:lang w:eastAsia="zh-CN"/>
        </w:rPr>
        <w:t>、</w:t>
      </w:r>
      <w:r>
        <w:rPr>
          <w:rFonts w:hint="eastAsia" w:ascii="仿宋" w:hAnsi="仿宋" w:eastAsia="仿宋" w:cs="Times New Roman"/>
          <w:b w:val="0"/>
          <w:bCs w:val="0"/>
          <w:sz w:val="32"/>
          <w:szCs w:val="32"/>
        </w:rPr>
        <w:t>行业商会活动</w:t>
      </w:r>
      <w:r>
        <w:rPr>
          <w:rFonts w:hint="eastAsia" w:ascii="仿宋" w:hAnsi="仿宋" w:eastAsia="仿宋" w:cs="Times New Roman"/>
          <w:b w:val="0"/>
          <w:bCs w:val="0"/>
          <w:sz w:val="32"/>
          <w:szCs w:val="32"/>
          <w:lang w:eastAsia="zh-CN"/>
        </w:rPr>
        <w:t>、</w:t>
      </w:r>
      <w:r>
        <w:rPr>
          <w:rFonts w:hint="eastAsia" w:ascii="仿宋" w:hAnsi="仿宋" w:eastAsia="仿宋" w:cs="Times New Roman"/>
          <w:b w:val="0"/>
          <w:bCs w:val="0"/>
          <w:sz w:val="32"/>
          <w:szCs w:val="32"/>
        </w:rPr>
        <w:t>开展“百企帮百村”活动</w:t>
      </w:r>
      <w:r>
        <w:rPr>
          <w:rFonts w:hint="eastAsia" w:ascii="仿宋" w:hAnsi="仿宋" w:eastAsia="仿宋" w:cs="Times New Roman"/>
          <w:b w:val="0"/>
          <w:bCs w:val="0"/>
          <w:sz w:val="32"/>
          <w:szCs w:val="32"/>
          <w:lang w:eastAsia="zh-CN"/>
        </w:rPr>
        <w:t>项目</w:t>
      </w:r>
      <w:r>
        <w:rPr>
          <w:rFonts w:hint="eastAsia" w:ascii="仿宋_GB2312" w:hAnsi="楷体_GB2312" w:eastAsia="仿宋_GB2312" w:cs="楷体_GB2312"/>
          <w:sz w:val="32"/>
          <w:szCs w:val="32"/>
        </w:rPr>
        <w:t>支出较为理想，达到了项目申请时的各项目标</w:t>
      </w:r>
      <w:r>
        <w:rPr>
          <w:rFonts w:hint="eastAsia" w:ascii="仿宋_GB2312" w:hAnsi="楷体_GB2312" w:eastAsia="仿宋_GB2312" w:cs="楷体_GB2312"/>
          <w:sz w:val="32"/>
          <w:szCs w:val="32"/>
          <w:lang w:eastAsia="zh-CN"/>
        </w:rPr>
        <w:t>，</w:t>
      </w:r>
      <w:r>
        <w:rPr>
          <w:rFonts w:hint="eastAsia" w:ascii="仿宋" w:hAnsi="仿宋" w:eastAsia="仿宋" w:cs="仿宋"/>
          <w:sz w:val="32"/>
          <w:szCs w:val="32"/>
        </w:rPr>
        <w:t xml:space="preserve">自评得分为 </w:t>
      </w:r>
      <w:r>
        <w:rPr>
          <w:rFonts w:hint="eastAsia" w:ascii="仿宋" w:hAnsi="仿宋" w:eastAsia="仿宋" w:cs="仿宋"/>
          <w:sz w:val="32"/>
          <w:szCs w:val="32"/>
          <w:lang w:val="en-US" w:eastAsia="zh-CN"/>
        </w:rPr>
        <w:t>80</w:t>
      </w:r>
      <w:r>
        <w:rPr>
          <w:rFonts w:hint="eastAsia" w:ascii="仿宋" w:hAnsi="仿宋" w:eastAsia="仿宋" w:cs="仿宋"/>
          <w:sz w:val="32"/>
          <w:szCs w:val="32"/>
        </w:rPr>
        <w:t>分。</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九、政府性基金预算财政拨款支出决算情况说明</w:t>
      </w:r>
    </w:p>
    <w:p>
      <w:pPr>
        <w:autoSpaceDE w:val="0"/>
        <w:autoSpaceDN w:val="0"/>
        <w:adjustRightInd w:val="0"/>
        <w:ind w:firstLine="640" w:firstLineChars="200"/>
        <w:jc w:val="both"/>
        <w:rPr>
          <w:rFonts w:hint="default" w:ascii="仿宋_GB2312" w:hAnsi="Times New Roman" w:eastAsia="仿宋_GB2312" w:cs="黑体"/>
          <w:sz w:val="32"/>
          <w:szCs w:val="32"/>
          <w:lang w:val="en-US" w:eastAsia="zh-CN"/>
        </w:rPr>
      </w:pPr>
      <w:r>
        <w:rPr>
          <w:rFonts w:ascii="仿宋_GB2312" w:hAnsi="Times New Roman" w:eastAsia="仿宋_GB2312" w:cs="黑体"/>
          <w:sz w:val="32"/>
          <w:szCs w:val="32"/>
        </w:rPr>
        <w:t>2018 年度政府性基金预算财政拨款支出年初预算为0.00万元，支出决算为0.00万元，完成年初预算的0.00%。</w:t>
      </w:r>
      <w:r>
        <w:rPr>
          <w:rFonts w:hint="eastAsia" w:ascii="仿宋_GB2312" w:hAnsi="Times New Roman" w:eastAsia="仿宋_GB2312" w:cs="黑体"/>
          <w:sz w:val="32"/>
          <w:szCs w:val="32"/>
          <w:lang w:eastAsia="zh-CN"/>
        </w:rPr>
        <w:t>我部门</w:t>
      </w:r>
      <w:r>
        <w:rPr>
          <w:rFonts w:hint="eastAsia" w:ascii="仿宋_GB2312" w:hAnsi="Times New Roman" w:eastAsia="仿宋_GB2312" w:cs="黑体"/>
          <w:sz w:val="32"/>
          <w:szCs w:val="32"/>
          <w:lang w:val="en-US" w:eastAsia="zh-CN"/>
        </w:rPr>
        <w:t>2018年没有政府性基金收入，也没有使用政府性基金安排的支出。</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十、机关运行经费支出情况说明</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2018年度机关运行经费年初预算为</w:t>
      </w:r>
      <w:r>
        <w:rPr>
          <w:rFonts w:hint="eastAsia" w:ascii="仿宋_GB2312" w:hAnsi="Times New Roman" w:eastAsia="仿宋_GB2312" w:cs="黑体"/>
          <w:sz w:val="32"/>
          <w:szCs w:val="32"/>
          <w:lang w:val="en-US" w:eastAsia="zh-CN"/>
        </w:rPr>
        <w:t>10.54</w:t>
      </w:r>
      <w:r>
        <w:rPr>
          <w:rFonts w:ascii="仿宋_GB2312" w:hAnsi="Times New Roman" w:eastAsia="仿宋_GB2312" w:cs="黑体"/>
          <w:sz w:val="32"/>
          <w:szCs w:val="32"/>
        </w:rPr>
        <w:t>万元，支出决算为</w:t>
      </w:r>
      <w:r>
        <w:rPr>
          <w:rFonts w:hint="eastAsia" w:ascii="仿宋_GB2312" w:hAnsi="Times New Roman" w:eastAsia="仿宋_GB2312" w:cs="黑体"/>
          <w:sz w:val="32"/>
          <w:szCs w:val="32"/>
          <w:lang w:val="en-US" w:eastAsia="zh-CN"/>
        </w:rPr>
        <w:t>10.54</w:t>
      </w:r>
      <w:r>
        <w:rPr>
          <w:rFonts w:ascii="仿宋_GB2312" w:hAnsi="Times New Roman" w:eastAsia="仿宋_GB2312" w:cs="黑体"/>
          <w:sz w:val="32"/>
          <w:szCs w:val="32"/>
        </w:rPr>
        <w:t>万元，完成年初预算的</w:t>
      </w:r>
      <w:r>
        <w:rPr>
          <w:rFonts w:hint="eastAsia" w:ascii="仿宋_GB2312" w:hAnsi="Times New Roman" w:eastAsia="仿宋_GB2312" w:cs="黑体"/>
          <w:sz w:val="32"/>
          <w:szCs w:val="32"/>
          <w:lang w:val="en-US" w:eastAsia="zh-CN"/>
        </w:rPr>
        <w:t>10</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十一、政府采购支出情况说明</w:t>
      </w:r>
    </w:p>
    <w:p>
      <w:pPr>
        <w:autoSpaceDE w:val="0"/>
        <w:autoSpaceDN w:val="0"/>
        <w:adjustRightInd w:val="0"/>
        <w:ind w:firstLine="640" w:firstLineChars="200"/>
        <w:jc w:val="both"/>
        <w:rPr>
          <w:rFonts w:ascii="仿宋_GB2312" w:hAnsi="Times New Roman" w:eastAsia="仿宋_GB2312" w:cs="黑体"/>
          <w:sz w:val="32"/>
          <w:szCs w:val="32"/>
        </w:rPr>
      </w:pPr>
      <w:r>
        <w:rPr>
          <w:rFonts w:ascii="仿宋_GB2312" w:hAnsi="Times New Roman" w:eastAsia="仿宋_GB2312" w:cs="黑体"/>
          <w:sz w:val="32"/>
          <w:szCs w:val="32"/>
        </w:rPr>
        <w:t>2018 年度政府采购支出总额</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万元，其中：政府采购货物支出</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万元、政府采购工程支出</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万元、政府采购服务支出</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万元。授予中 小企业合同金额</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万元，占政府采购支出总额的</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%，其中：授予小微企业合同金额</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万元，占政府采购支出总额的</w:t>
      </w:r>
      <w:r>
        <w:rPr>
          <w:rFonts w:hint="eastAsia" w:ascii="仿宋_GB2312" w:hAnsi="Times New Roman" w:eastAsia="仿宋_GB2312" w:cs="黑体"/>
          <w:sz w:val="32"/>
          <w:szCs w:val="32"/>
          <w:lang w:eastAsia="zh-CN"/>
        </w:rPr>
        <w:t>0</w:t>
      </w:r>
      <w:r>
        <w:rPr>
          <w:rFonts w:ascii="仿宋_GB2312" w:hAnsi="Times New Roman" w:eastAsia="仿宋_GB2312" w:cs="黑体"/>
          <w:sz w:val="32"/>
          <w:szCs w:val="32"/>
        </w:rPr>
        <w:t>%。</w:t>
      </w:r>
    </w:p>
    <w:p>
      <w:pPr>
        <w:autoSpaceDE w:val="0"/>
        <w:autoSpaceDN w:val="0"/>
        <w:adjustRightInd w:val="0"/>
        <w:ind w:firstLine="640" w:firstLineChars="200"/>
        <w:jc w:val="both"/>
        <w:rPr>
          <w:rFonts w:ascii="黑体" w:hAnsi="Times New Roman" w:eastAsia="黑体" w:cs="黑体"/>
          <w:sz w:val="32"/>
          <w:szCs w:val="32"/>
        </w:rPr>
      </w:pPr>
      <w:r>
        <w:rPr>
          <w:rFonts w:ascii="黑体" w:hAnsi="Times New Roman" w:eastAsia="黑体" w:cs="黑体"/>
          <w:sz w:val="32"/>
          <w:szCs w:val="32"/>
        </w:rPr>
        <w:t>十二、国有资产占用情况说明</w:t>
      </w:r>
    </w:p>
    <w:p>
      <w:pPr>
        <w:autoSpaceDE w:val="0"/>
        <w:autoSpaceDN w:val="0"/>
        <w:adjustRightInd w:val="0"/>
        <w:ind w:firstLine="640" w:firstLineChars="200"/>
        <w:jc w:val="both"/>
        <w:rPr>
          <w:rFonts w:ascii="仿宋_GB2312" w:hAnsi="Times New Roman" w:eastAsia="仿宋_GB2312" w:cs="黑体"/>
          <w:sz w:val="32"/>
          <w:szCs w:val="32"/>
        </w:rPr>
      </w:pPr>
      <w:r>
        <w:rPr>
          <w:rFonts w:hint="eastAsia" w:ascii="仿宋_GB2312" w:hAnsi="Times New Roman" w:eastAsia="仿宋_GB2312" w:cs="黑体"/>
          <w:sz w:val="32"/>
          <w:szCs w:val="32"/>
        </w:rPr>
        <w:t>2018年期末，我部门共有车辆</w:t>
      </w:r>
      <w:r>
        <w:rPr>
          <w:rFonts w:hint="eastAsia" w:ascii="仿宋_GB2312" w:hAnsi="Times New Roman" w:eastAsia="仿宋_GB2312" w:cs="黑体"/>
          <w:sz w:val="32"/>
          <w:szCs w:val="32"/>
          <w:lang w:val="en-US" w:eastAsia="zh-CN"/>
        </w:rPr>
        <w:t>1</w:t>
      </w:r>
      <w:r>
        <w:rPr>
          <w:rFonts w:hint="eastAsia" w:ascii="仿宋_GB2312" w:hAnsi="Times New Roman" w:eastAsia="仿宋_GB2312" w:cs="黑体"/>
          <w:sz w:val="32"/>
          <w:szCs w:val="32"/>
        </w:rPr>
        <w:t>辆，其中：省级领导干部用车0辆、主要领导干部用车</w:t>
      </w:r>
      <w:r>
        <w:rPr>
          <w:rFonts w:hint="eastAsia" w:ascii="仿宋_GB2312" w:hAnsi="Times New Roman" w:eastAsia="仿宋_GB2312" w:cs="黑体"/>
          <w:sz w:val="32"/>
          <w:szCs w:val="32"/>
          <w:lang w:val="en-US" w:eastAsia="zh-CN"/>
        </w:rPr>
        <w:t>0</w:t>
      </w:r>
      <w:r>
        <w:rPr>
          <w:rFonts w:hint="eastAsia" w:ascii="仿宋_GB2312" w:hAnsi="Times New Roman" w:eastAsia="仿宋_GB2312" w:cs="黑体"/>
          <w:sz w:val="32"/>
          <w:szCs w:val="32"/>
        </w:rPr>
        <w:t>辆、机要通信用车</w:t>
      </w:r>
      <w:r>
        <w:rPr>
          <w:rFonts w:hint="eastAsia" w:ascii="仿宋_GB2312" w:hAnsi="Times New Roman" w:eastAsia="仿宋_GB2312" w:cs="黑体"/>
          <w:sz w:val="32"/>
          <w:szCs w:val="32"/>
          <w:lang w:val="en-US" w:eastAsia="zh-CN"/>
        </w:rPr>
        <w:t>1</w:t>
      </w:r>
      <w:r>
        <w:rPr>
          <w:rFonts w:hint="eastAsia" w:ascii="仿宋_GB2312" w:hAnsi="Times New Roman" w:eastAsia="仿宋_GB2312" w:cs="黑体"/>
          <w:sz w:val="32"/>
          <w:szCs w:val="32"/>
        </w:rPr>
        <w:t>辆、应急保障车0辆、执法执勤用车0辆、特种专业技术用车0辆、离退休干部用车0 辆、其他用车0辆；单位价值50万元以上通用设备0台（套），单位价值100万元以上 专用设备0台（套）。</w:t>
      </w:r>
      <w:bookmarkStart w:id="0" w:name="_GoBack"/>
      <w:bookmarkEnd w:id="0"/>
    </w:p>
    <w:p>
      <w:pPr>
        <w:widowControl/>
        <w:jc w:val="both"/>
        <w:rPr>
          <w:rFonts w:hint="eastAsia" w:ascii="黑体" w:hAnsi="宋体" w:eastAsia="黑体" w:cs="宋体"/>
          <w:kern w:val="0"/>
          <w:sz w:val="28"/>
          <w:szCs w:val="28"/>
        </w:rPr>
      </w:pPr>
    </w:p>
    <w:p>
      <w:pPr>
        <w:widowControl/>
        <w:jc w:val="both"/>
        <w:rPr>
          <w:rFonts w:hint="eastAsia" w:ascii="黑体" w:hAnsi="宋体" w:eastAsia="黑体" w:cs="宋体"/>
          <w:kern w:val="0"/>
          <w:sz w:val="28"/>
          <w:szCs w:val="28"/>
        </w:rPr>
      </w:pPr>
    </w:p>
    <w:p>
      <w:pPr>
        <w:widowControl/>
        <w:jc w:val="both"/>
        <w:rPr>
          <w:rFonts w:hint="eastAsia" w:ascii="黑体" w:hAnsi="宋体" w:eastAsia="黑体" w:cs="宋体"/>
          <w:kern w:val="0"/>
          <w:sz w:val="28"/>
          <w:szCs w:val="28"/>
        </w:rPr>
      </w:pPr>
    </w:p>
    <w:p>
      <w:pPr>
        <w:widowControl/>
        <w:jc w:val="both"/>
        <w:rPr>
          <w:rFonts w:hint="eastAsia" w:ascii="黑体" w:hAnsi="宋体" w:eastAsia="黑体" w:cs="宋体"/>
          <w:kern w:val="0"/>
          <w:sz w:val="28"/>
          <w:szCs w:val="28"/>
        </w:rPr>
      </w:pPr>
    </w:p>
    <w:p>
      <w:pPr>
        <w:widowControl/>
        <w:jc w:val="both"/>
        <w:rPr>
          <w:rFonts w:hint="eastAsia" w:ascii="黑体" w:hAnsi="宋体" w:eastAsia="黑体" w:cs="宋体"/>
          <w:kern w:val="0"/>
          <w:sz w:val="28"/>
          <w:szCs w:val="28"/>
        </w:rPr>
      </w:pPr>
    </w:p>
    <w:p>
      <w:pPr>
        <w:widowControl/>
        <w:jc w:val="both"/>
        <w:rPr>
          <w:rFonts w:hint="eastAsia" w:ascii="黑体" w:hAnsi="宋体" w:eastAsia="黑体" w:cs="宋体"/>
          <w:kern w:val="0"/>
          <w:sz w:val="28"/>
          <w:szCs w:val="28"/>
        </w:rPr>
      </w:pPr>
    </w:p>
    <w:p>
      <w:pPr>
        <w:widowControl/>
        <w:jc w:val="both"/>
        <w:rPr>
          <w:rFonts w:hint="eastAsia" w:ascii="黑体" w:hAnsi="宋体" w:eastAsia="黑体" w:cs="宋体"/>
          <w:kern w:val="0"/>
          <w:sz w:val="28"/>
          <w:szCs w:val="28"/>
        </w:rPr>
      </w:pPr>
    </w:p>
    <w:p>
      <w:pPr>
        <w:widowControl/>
        <w:jc w:val="both"/>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both"/>
        <w:rPr>
          <w:rFonts w:ascii="黑体" w:hAnsi="黑体" w:eastAsia="黑体" w:cs="黑体"/>
          <w:sz w:val="48"/>
          <w:szCs w:val="48"/>
        </w:rPr>
      </w:pPr>
    </w:p>
    <w:p>
      <w:pPr>
        <w:jc w:val="both"/>
        <w:outlineLvl w:val="0"/>
        <w:rPr>
          <w:rFonts w:ascii="黑体" w:hAnsi="黑体" w:eastAsia="黑体" w:cs="黑体"/>
          <w:sz w:val="48"/>
          <w:szCs w:val="48"/>
        </w:rPr>
        <w:sectPr>
          <w:pgSz w:w="11906" w:h="16838"/>
          <w:pgMar w:top="1440" w:right="1587" w:bottom="1440" w:left="1531" w:header="850" w:footer="992" w:gutter="0"/>
          <w:pgNumType w:fmt="numberInDash"/>
          <w:cols w:space="720" w:num="1"/>
          <w:docGrid w:type="lines" w:linePitch="317" w:charSpace="0"/>
        </w:sectPr>
      </w:pP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autoSpaceDE w:val="0"/>
        <w:autoSpaceDN w:val="0"/>
        <w:adjustRightInd w:val="0"/>
        <w:ind w:firstLine="640" w:firstLineChars="200"/>
        <w:jc w:val="left"/>
        <w:rPr>
          <w:rFonts w:ascii="黑体" w:hAnsi="Times New Roman" w:eastAsia="黑体" w:cs="黑体"/>
          <w:sz w:val="32"/>
          <w:szCs w:val="32"/>
        </w:rPr>
      </w:pPr>
    </w:p>
    <w:p/>
    <w:p>
      <w:pPr>
        <w:outlineLvl w:val="0"/>
        <w:rPr>
          <w:rFonts w:ascii="黑体" w:hAnsi="黑体" w:eastAsia="黑体" w:cs="黑体"/>
          <w:sz w:val="48"/>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upright="1">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3PPKPsQEA&#10;AE4DAAAOAAAAAAAAAAEAIAAAAB4BAABkcnMvZTJvRG9jLnhtbFBLBQYAAAAABgAGAFkBAABBBQAA&#10;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2cvmSsQEA&#10;AE4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wps:txbx>
                    <wps:bodyPr wrap="none" lIns="0" tIns="0" rIns="0" bIns="0" upright="1">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vTFpObIB&#10;AABO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B2"/>
    <w:rsid w:val="00160EAD"/>
    <w:rsid w:val="00187B6F"/>
    <w:rsid w:val="001F42B6"/>
    <w:rsid w:val="00211F02"/>
    <w:rsid w:val="00305962"/>
    <w:rsid w:val="003B6A70"/>
    <w:rsid w:val="004577D1"/>
    <w:rsid w:val="004E3479"/>
    <w:rsid w:val="005C3D79"/>
    <w:rsid w:val="006225F8"/>
    <w:rsid w:val="00647660"/>
    <w:rsid w:val="006C4CA9"/>
    <w:rsid w:val="00793294"/>
    <w:rsid w:val="00815244"/>
    <w:rsid w:val="00874E89"/>
    <w:rsid w:val="00915398"/>
    <w:rsid w:val="0094381D"/>
    <w:rsid w:val="00A256D1"/>
    <w:rsid w:val="00A46943"/>
    <w:rsid w:val="00A477B2"/>
    <w:rsid w:val="00A5286E"/>
    <w:rsid w:val="00C41E5F"/>
    <w:rsid w:val="00C73120"/>
    <w:rsid w:val="00CC41C8"/>
    <w:rsid w:val="00CD05C8"/>
    <w:rsid w:val="00D05CB3"/>
    <w:rsid w:val="00D764AF"/>
    <w:rsid w:val="00E10602"/>
    <w:rsid w:val="00E34340"/>
    <w:rsid w:val="00EA2F2F"/>
    <w:rsid w:val="00EA3578"/>
    <w:rsid w:val="00ED6DB4"/>
    <w:rsid w:val="00F43223"/>
    <w:rsid w:val="00F861B4"/>
    <w:rsid w:val="0C512267"/>
    <w:rsid w:val="1BEC126C"/>
    <w:rsid w:val="256B4BD8"/>
    <w:rsid w:val="298E3156"/>
    <w:rsid w:val="29E60EBD"/>
    <w:rsid w:val="4536624D"/>
    <w:rsid w:val="4FF17496"/>
    <w:rsid w:val="645377E6"/>
    <w:rsid w:val="68CA797F"/>
    <w:rsid w:val="68D9066D"/>
    <w:rsid w:val="6BDB3E99"/>
    <w:rsid w:val="78791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qFormat/>
    <w:uiPriority w:val="99"/>
  </w:style>
  <w:style w:type="character" w:customStyle="1" w:styleId="14">
    <w:name w:val="批注主题 Char"/>
    <w:basedOn w:val="13"/>
    <w:link w:val="7"/>
    <w:semiHidden/>
    <w:qFormat/>
    <w:uiPriority w:val="99"/>
    <w:rPr>
      <w:b/>
      <w:bCs/>
    </w:rPr>
  </w:style>
  <w:style w:type="character" w:customStyle="1" w:styleId="15">
    <w:name w:val="批注框文本 Char"/>
    <w:basedOn w:val="9"/>
    <w:link w:val="3"/>
    <w:semiHidden/>
    <w:qFormat/>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1752</Words>
  <Characters>9992</Characters>
  <Lines>83</Lines>
  <Paragraphs>23</Paragraphs>
  <TotalTime>3</TotalTime>
  <ScaleCrop>false</ScaleCrop>
  <LinksUpToDate>false</LinksUpToDate>
  <CharactersWithSpaces>11721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2019-09-03T07:24:00Z</dcterms:created>
  <dc:creator>user</dc:creator>
  <cp:lastModifiedBy>瑞</cp:lastModifiedBy>
  <cp:lastPrinted>2019-09-24T01:16:00Z</cp:lastPrinted>
  <dcterms:modified xsi:type="dcterms:W3CDTF">2019-09-29T04:01:23Z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